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312" w:afterLines="100" w:line="240" w:lineRule="auto"/>
        <w:jc w:val="center"/>
        <w:rPr>
          <w:rFonts w:hint="eastAsia"/>
          <w:sz w:val="32"/>
          <w:szCs w:val="32"/>
        </w:rPr>
      </w:pPr>
      <w:r>
        <w:rPr>
          <w:b/>
          <w:bCs/>
          <w:sz w:val="32"/>
          <w:szCs w:val="32"/>
        </w:rPr>
        <w:t>赤壁大润发仓储有限公司</w:t>
      </w:r>
      <w:r>
        <w:rPr>
          <w:rFonts w:hint="eastAsia"/>
          <w:b/>
          <w:bCs/>
          <w:sz w:val="32"/>
          <w:szCs w:val="32"/>
        </w:rPr>
        <w:t>成都分公司</w:t>
      </w:r>
      <w:r>
        <w:rPr>
          <w:b/>
          <w:bCs/>
          <w:sz w:val="32"/>
          <w:szCs w:val="32"/>
        </w:rPr>
        <w:br w:type="textWrapping"/>
      </w:r>
      <w:r>
        <w:rPr>
          <w:b/>
          <w:bCs/>
          <w:sz w:val="32"/>
          <w:szCs w:val="32"/>
        </w:rPr>
        <w:t>2025年度运输配送业务公开招标公告</w:t>
      </w:r>
    </w:p>
    <w:p>
      <w:pPr>
        <w:adjustRightInd w:val="0"/>
        <w:snapToGrid w:val="0"/>
        <w:spacing w:after="31" w:afterLines="10" w:line="360" w:lineRule="auto"/>
        <w:ind w:firstLine="440" w:firstLineChars="200"/>
        <w:jc w:val="both"/>
        <w:rPr>
          <w:rFonts w:hint="eastAsia"/>
        </w:rPr>
      </w:pPr>
      <w:r>
        <w:rPr>
          <w:rFonts w:hint="eastAsia"/>
        </w:rPr>
        <w:t>成都大润发仓储有限公司为高鑫零售旗下专属物流配送中心，为川渝大润发超市提供供应链整合及物流配送服务。公司创立于2017年7月，是一家国际级现代化物流企业。所在地为四川省成都市天府新区天工大道1111号，仓库现有总面积为1.9万平方米。</w:t>
      </w:r>
    </w:p>
    <w:p>
      <w:pPr>
        <w:adjustRightInd w:val="0"/>
        <w:snapToGrid w:val="0"/>
        <w:spacing w:after="31" w:afterLines="10" w:line="360" w:lineRule="auto"/>
        <w:ind w:firstLine="440" w:firstLineChars="200"/>
        <w:jc w:val="both"/>
        <w:rPr>
          <w:rFonts w:hint="eastAsia"/>
        </w:rPr>
      </w:pPr>
      <w:r>
        <w:rPr>
          <w:rFonts w:hint="eastAsia"/>
        </w:rPr>
        <w:t>公司主要负责川渝地区大润发超市的配送作业，是目前超市业界规模最大，系统最完善，运作最高效的物流配送体系。为了整合运力资源，降低物流成本，提高货物运输质量和物流管理体制水平以及更好的服务于大润发超市。成都大润发仓储有限公司川渝地区19家门店2025年度运输配送业务进行公开招标，欢迎所有信誉良好、业务能力强的运输企业参加投标。</w:t>
      </w:r>
    </w:p>
    <w:p>
      <w:pPr>
        <w:rPr>
          <w:rFonts w:hint="eastAsia"/>
          <w:b/>
          <w:bCs/>
        </w:rPr>
      </w:pPr>
      <w:r>
        <w:rPr>
          <w:b/>
          <w:bCs/>
        </w:rPr>
        <w:t>一、招标内容</w:t>
      </w:r>
    </w:p>
    <w:p>
      <w:pPr>
        <w:rPr>
          <w:rFonts w:hint="eastAsia"/>
          <w:b/>
          <w:bCs/>
        </w:rPr>
      </w:pPr>
      <w:r>
        <w:rPr>
          <w:b/>
          <w:bCs/>
        </w:rPr>
        <w:t>（一）招标范围</w:t>
      </w:r>
    </w:p>
    <w:p>
      <w:pPr>
        <w:numPr>
          <w:ilvl w:val="0"/>
          <w:numId w:val="1"/>
        </w:numPr>
        <w:rPr>
          <w:rFonts w:hint="eastAsia"/>
        </w:rPr>
      </w:pPr>
      <w:r>
        <w:rPr>
          <w:b/>
          <w:bCs/>
        </w:rPr>
        <w:t>配送起讫地</w:t>
      </w:r>
      <w:r>
        <w:t>：</w:t>
      </w:r>
    </w:p>
    <w:p>
      <w:pPr>
        <w:ind w:left="720"/>
        <w:rPr>
          <w:rFonts w:hint="eastAsia"/>
        </w:rPr>
      </w:pPr>
      <w:r>
        <w:rPr>
          <w:rFonts w:hint="eastAsia"/>
        </w:rPr>
        <w:t>赤壁大润发仓储有限公司成都分公司</w:t>
      </w:r>
      <w:r>
        <w:t>（地址：</w:t>
      </w:r>
      <w:r>
        <w:rPr>
          <w:rFonts w:hint="eastAsia"/>
        </w:rPr>
        <w:t>四川省成都市双流区天工大道1111号</w:t>
      </w:r>
      <w:r>
        <w:t>）至</w:t>
      </w:r>
      <w:r>
        <w:rPr>
          <w:rFonts w:hint="eastAsia"/>
        </w:rPr>
        <w:t>川渝</w:t>
      </w:r>
      <w:r>
        <w:t>指定门店。</w:t>
      </w:r>
    </w:p>
    <w:p>
      <w:pPr>
        <w:numPr>
          <w:ilvl w:val="0"/>
          <w:numId w:val="1"/>
        </w:numPr>
        <w:rPr>
          <w:rFonts w:hint="eastAsia"/>
        </w:rPr>
      </w:pPr>
      <w:r>
        <w:rPr>
          <w:b/>
          <w:bCs/>
        </w:rPr>
        <w:t>配送覆盖区域</w:t>
      </w:r>
      <w:r>
        <w:t>：</w:t>
      </w:r>
    </w:p>
    <w:p>
      <w:pPr>
        <w:numPr>
          <w:ilvl w:val="0"/>
          <w:numId w:val="2"/>
        </w:numPr>
        <w:tabs>
          <w:tab w:val="left" w:pos="1440"/>
        </w:tabs>
        <w:adjustRightInd w:val="0"/>
        <w:snapToGrid w:val="0"/>
        <w:rPr>
          <w:rFonts w:hint="eastAsia"/>
        </w:rPr>
      </w:pPr>
      <w:r>
        <w:rPr>
          <w:rFonts w:hint="eastAsia"/>
        </w:rPr>
        <w:t>四川</w:t>
      </w:r>
      <w:r>
        <w:t>省内线路（</w:t>
      </w:r>
      <w:r>
        <w:rPr>
          <w:rFonts w:hint="eastAsia"/>
        </w:rPr>
        <w:t>成都</w:t>
      </w:r>
      <w:r>
        <w:t>至</w:t>
      </w:r>
      <w:r>
        <w:rPr>
          <w:rFonts w:hint="eastAsia"/>
        </w:rPr>
        <w:t>四川省内</w:t>
      </w:r>
      <w:r>
        <w:t>）</w:t>
      </w:r>
      <w:r>
        <w:rPr>
          <w:rFonts w:hint="eastAsia"/>
        </w:rPr>
        <w:t>。</w:t>
      </w:r>
    </w:p>
    <w:p>
      <w:pPr>
        <w:numPr>
          <w:ilvl w:val="0"/>
          <w:numId w:val="2"/>
        </w:numPr>
        <w:tabs>
          <w:tab w:val="left" w:pos="1440"/>
        </w:tabs>
        <w:adjustRightInd w:val="0"/>
        <w:snapToGrid w:val="0"/>
        <w:rPr>
          <w:rFonts w:hint="eastAsia"/>
        </w:rPr>
      </w:pPr>
      <w:r>
        <w:t>跨省线路：</w:t>
      </w:r>
      <w:r>
        <w:rPr>
          <w:rFonts w:hint="eastAsia"/>
        </w:rPr>
        <w:t>成都至重庆</w:t>
      </w:r>
      <w:r>
        <w:t>。</w:t>
      </w:r>
    </w:p>
    <w:p>
      <w:pPr>
        <w:numPr>
          <w:ilvl w:val="0"/>
          <w:numId w:val="2"/>
        </w:numPr>
        <w:tabs>
          <w:tab w:val="left" w:pos="1440"/>
        </w:tabs>
        <w:adjustRightInd w:val="0"/>
        <w:snapToGrid w:val="0"/>
        <w:rPr>
          <w:rFonts w:hint="eastAsia"/>
        </w:rPr>
      </w:pPr>
      <w:r>
        <w:rPr>
          <w:rFonts w:hint="eastAsia"/>
        </w:rPr>
        <w:t>运输线路及配送趟次参考下表：</w:t>
      </w:r>
    </w:p>
    <w:tbl>
      <w:tblPr>
        <w:tblStyle w:val="15"/>
        <w:tblW w:w="9396" w:type="dxa"/>
        <w:tblInd w:w="0" w:type="dxa"/>
        <w:tblLayout w:type="fixed"/>
        <w:tblCellMar>
          <w:top w:w="0" w:type="dxa"/>
          <w:left w:w="108" w:type="dxa"/>
          <w:bottom w:w="0" w:type="dxa"/>
          <w:right w:w="108" w:type="dxa"/>
        </w:tblCellMar>
      </w:tblPr>
      <w:tblGrid>
        <w:gridCol w:w="556"/>
        <w:gridCol w:w="686"/>
        <w:gridCol w:w="1317"/>
        <w:gridCol w:w="667"/>
        <w:gridCol w:w="568"/>
        <w:gridCol w:w="750"/>
        <w:gridCol w:w="789"/>
        <w:gridCol w:w="3655"/>
        <w:gridCol w:w="408"/>
      </w:tblGrid>
      <w:tr>
        <w:tblPrEx>
          <w:tblLayout w:type="fixed"/>
          <w:tblCellMar>
            <w:top w:w="0" w:type="dxa"/>
            <w:left w:w="108" w:type="dxa"/>
            <w:bottom w:w="0" w:type="dxa"/>
            <w:right w:w="108" w:type="dxa"/>
          </w:tblCellMar>
        </w:tblPrEx>
        <w:trPr>
          <w:trHeight w:val="630" w:hRule="atLeast"/>
        </w:trPr>
        <w:tc>
          <w:tcPr>
            <w:tcW w:w="9396" w:type="dxa"/>
            <w:gridSpan w:val="9"/>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32"/>
                <w:szCs w:val="32"/>
              </w:rPr>
            </w:pPr>
            <w:r>
              <w:rPr>
                <w:rFonts w:hint="eastAsia" w:ascii="宋体" w:hAnsi="宋体" w:cs="宋体"/>
                <w:color w:val="000000"/>
                <w:kern w:val="0"/>
                <w:sz w:val="32"/>
                <w:szCs w:val="32"/>
              </w:rPr>
              <w:t>华中区成都仓招标线路</w:t>
            </w:r>
          </w:p>
        </w:tc>
      </w:tr>
      <w:tr>
        <w:tblPrEx>
          <w:tblLayout w:type="fixed"/>
          <w:tblCellMar>
            <w:top w:w="0" w:type="dxa"/>
            <w:left w:w="108" w:type="dxa"/>
            <w:bottom w:w="0" w:type="dxa"/>
            <w:right w:w="108" w:type="dxa"/>
          </w:tblCellMar>
        </w:tblPrEx>
        <w:trPr>
          <w:trHeight w:val="810" w:hRule="atLeast"/>
        </w:trPr>
        <w:tc>
          <w:tcPr>
            <w:tcW w:w="55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区域</w:t>
            </w:r>
          </w:p>
        </w:tc>
        <w:tc>
          <w:tcPr>
            <w:tcW w:w="686"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店号</w:t>
            </w:r>
          </w:p>
        </w:tc>
        <w:tc>
          <w:tcPr>
            <w:tcW w:w="1317"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店别</w:t>
            </w:r>
          </w:p>
        </w:tc>
        <w:tc>
          <w:tcPr>
            <w:tcW w:w="667"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线路</w:t>
            </w:r>
          </w:p>
        </w:tc>
        <w:tc>
          <w:tcPr>
            <w:tcW w:w="568"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里程（往返）</w:t>
            </w:r>
          </w:p>
        </w:tc>
        <w:tc>
          <w:tcPr>
            <w:tcW w:w="75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使用车型</w:t>
            </w:r>
          </w:p>
        </w:tc>
        <w:tc>
          <w:tcPr>
            <w:tcW w:w="789"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日均趟次（9.6M车型）</w:t>
            </w:r>
          </w:p>
        </w:tc>
        <w:tc>
          <w:tcPr>
            <w:tcW w:w="3655"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地址</w:t>
            </w:r>
          </w:p>
        </w:tc>
        <w:tc>
          <w:tcPr>
            <w:tcW w:w="408"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备注</w:t>
            </w:r>
          </w:p>
        </w:tc>
      </w:tr>
      <w:tr>
        <w:tblPrEx>
          <w:tblLayout w:type="fixed"/>
          <w:tblCellMar>
            <w:top w:w="0" w:type="dxa"/>
            <w:left w:w="108" w:type="dxa"/>
            <w:bottom w:w="0" w:type="dxa"/>
            <w:right w:w="108" w:type="dxa"/>
          </w:tblCellMar>
        </w:tblPrEx>
        <w:trPr>
          <w:trHeight w:val="270" w:hRule="atLeast"/>
        </w:trPr>
        <w:tc>
          <w:tcPr>
            <w:tcW w:w="556"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成都市</w:t>
            </w:r>
          </w:p>
        </w:tc>
        <w:tc>
          <w:tcPr>
            <w:tcW w:w="68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2"/>
              </w:rPr>
            </w:pPr>
            <w:r>
              <w:rPr>
                <w:rFonts w:hint="eastAsia" w:ascii="宋体" w:hAnsi="宋体" w:cs="宋体"/>
                <w:color w:val="000000"/>
                <w:kern w:val="0"/>
                <w:szCs w:val="22"/>
              </w:rPr>
              <w:t>4015</w:t>
            </w:r>
          </w:p>
        </w:tc>
        <w:tc>
          <w:tcPr>
            <w:tcW w:w="1317"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都江堰店</w:t>
            </w:r>
          </w:p>
        </w:tc>
        <w:tc>
          <w:tcPr>
            <w:tcW w:w="6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cs="宋体"/>
                <w:color w:val="000000"/>
                <w:kern w:val="0"/>
                <w:sz w:val="20"/>
                <w:szCs w:val="20"/>
              </w:rPr>
              <w:t>成都→都江堰</w:t>
            </w:r>
          </w:p>
        </w:tc>
        <w:tc>
          <w:tcPr>
            <w:tcW w:w="56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182</w:t>
            </w:r>
          </w:p>
        </w:tc>
        <w:tc>
          <w:tcPr>
            <w:tcW w:w="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8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1</w:t>
            </w:r>
          </w:p>
        </w:tc>
        <w:tc>
          <w:tcPr>
            <w:tcW w:w="3655" w:type="dxa"/>
            <w:tcBorders>
              <w:top w:val="nil"/>
              <w:left w:val="nil"/>
              <w:bottom w:val="single" w:color="auto" w:sz="4" w:space="0"/>
              <w:right w:val="single" w:color="auto" w:sz="4" w:space="0"/>
            </w:tcBorders>
            <w:shd w:val="clear" w:color="auto" w:fill="auto"/>
            <w:noWrap/>
            <w:vAlign w:val="center"/>
          </w:tcPr>
          <w:p>
            <w:pPr>
              <w:widowControl/>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都江堰幸福大道与莲花南路交汇处东南角</w:t>
            </w:r>
          </w:p>
        </w:tc>
        <w:tc>
          <w:tcPr>
            <w:tcW w:w="408"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　</w:t>
            </w:r>
          </w:p>
        </w:tc>
      </w:tr>
      <w:tr>
        <w:tblPrEx>
          <w:tblLayout w:type="fixed"/>
          <w:tblCellMar>
            <w:top w:w="0" w:type="dxa"/>
            <w:left w:w="108" w:type="dxa"/>
            <w:bottom w:w="0" w:type="dxa"/>
            <w:right w:w="108" w:type="dxa"/>
          </w:tblCellMar>
        </w:tblPrEx>
        <w:trPr>
          <w:trHeight w:val="270" w:hRule="atLeast"/>
        </w:trPr>
        <w:tc>
          <w:tcPr>
            <w:tcW w:w="5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rPr>
                <w:rFonts w:hint="eastAsia" w:ascii="宋体" w:hAnsi="宋体" w:cs="宋体"/>
                <w:color w:val="000000"/>
                <w:kern w:val="0"/>
                <w:szCs w:val="22"/>
              </w:rPr>
            </w:pPr>
          </w:p>
        </w:tc>
        <w:tc>
          <w:tcPr>
            <w:tcW w:w="68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2"/>
              </w:rPr>
            </w:pPr>
            <w:r>
              <w:rPr>
                <w:rFonts w:hint="eastAsia" w:ascii="宋体" w:hAnsi="宋体" w:cs="宋体"/>
                <w:color w:val="000000"/>
                <w:kern w:val="0"/>
                <w:szCs w:val="22"/>
              </w:rPr>
              <w:t>4025</w:t>
            </w:r>
          </w:p>
        </w:tc>
        <w:tc>
          <w:tcPr>
            <w:tcW w:w="131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2"/>
              </w:rPr>
            </w:pPr>
            <w:r>
              <w:rPr>
                <w:rFonts w:hint="eastAsia" w:ascii="宋体" w:hAnsi="宋体" w:cs="宋体"/>
                <w:color w:val="000000"/>
                <w:kern w:val="0"/>
                <w:szCs w:val="22"/>
              </w:rPr>
              <w:t>温江店</w:t>
            </w:r>
          </w:p>
        </w:tc>
        <w:tc>
          <w:tcPr>
            <w:tcW w:w="6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成都→</w:t>
            </w:r>
            <w:r>
              <w:rPr>
                <w:rFonts w:hint="eastAsia" w:ascii="宋体" w:hAnsi="宋体" w:cs="宋体"/>
                <w:color w:val="000000"/>
                <w:kern w:val="0"/>
                <w:szCs w:val="22"/>
              </w:rPr>
              <w:t>温江店</w:t>
            </w:r>
            <w:r>
              <w:rPr>
                <w:rFonts w:hint="eastAsia" w:ascii="宋体" w:hAnsi="宋体" w:cs="宋体"/>
                <w:color w:val="000000"/>
                <w:kern w:val="0"/>
                <w:sz w:val="20"/>
                <w:szCs w:val="20"/>
              </w:rPr>
              <w:t>阳店</w:t>
            </w:r>
          </w:p>
        </w:tc>
        <w:tc>
          <w:tcPr>
            <w:tcW w:w="56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112</w:t>
            </w:r>
          </w:p>
        </w:tc>
        <w:tc>
          <w:tcPr>
            <w:tcW w:w="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8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1</w:t>
            </w:r>
          </w:p>
        </w:tc>
        <w:tc>
          <w:tcPr>
            <w:tcW w:w="3655" w:type="dxa"/>
            <w:tcBorders>
              <w:top w:val="nil"/>
              <w:left w:val="nil"/>
              <w:bottom w:val="single" w:color="auto" w:sz="4" w:space="0"/>
              <w:right w:val="single" w:color="auto" w:sz="4" w:space="0"/>
            </w:tcBorders>
            <w:shd w:val="clear" w:color="auto" w:fill="auto"/>
            <w:noWrap/>
            <w:vAlign w:val="center"/>
          </w:tcPr>
          <w:p>
            <w:pPr>
              <w:widowControl/>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成都市温江区南熏大道与凤溪大道交汇处</w:t>
            </w:r>
          </w:p>
        </w:tc>
        <w:tc>
          <w:tcPr>
            <w:tcW w:w="408"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　</w:t>
            </w:r>
          </w:p>
        </w:tc>
      </w:tr>
      <w:tr>
        <w:tblPrEx>
          <w:tblLayout w:type="fixed"/>
          <w:tblCellMar>
            <w:top w:w="0" w:type="dxa"/>
            <w:left w:w="108" w:type="dxa"/>
            <w:bottom w:w="0" w:type="dxa"/>
            <w:right w:w="108" w:type="dxa"/>
          </w:tblCellMar>
        </w:tblPrEx>
        <w:trPr>
          <w:trHeight w:val="270" w:hRule="atLeast"/>
        </w:trPr>
        <w:tc>
          <w:tcPr>
            <w:tcW w:w="5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rPr>
                <w:rFonts w:hint="eastAsia" w:ascii="宋体" w:hAnsi="宋体" w:cs="宋体"/>
                <w:color w:val="000000"/>
                <w:kern w:val="0"/>
                <w:szCs w:val="22"/>
              </w:rPr>
            </w:pPr>
          </w:p>
        </w:tc>
        <w:tc>
          <w:tcPr>
            <w:tcW w:w="68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2"/>
              </w:rPr>
            </w:pPr>
            <w:r>
              <w:rPr>
                <w:rFonts w:hint="eastAsia" w:ascii="宋体" w:hAnsi="宋体" w:cs="宋体"/>
                <w:color w:val="000000"/>
                <w:kern w:val="0"/>
                <w:szCs w:val="22"/>
              </w:rPr>
              <w:t>4060</w:t>
            </w:r>
          </w:p>
        </w:tc>
        <w:tc>
          <w:tcPr>
            <w:tcW w:w="131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武侯店</w:t>
            </w:r>
          </w:p>
        </w:tc>
        <w:tc>
          <w:tcPr>
            <w:tcW w:w="6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成都→武侯店</w:t>
            </w:r>
          </w:p>
        </w:tc>
        <w:tc>
          <w:tcPr>
            <w:tcW w:w="56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44</w:t>
            </w:r>
          </w:p>
        </w:tc>
        <w:tc>
          <w:tcPr>
            <w:tcW w:w="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cs="宋体"/>
                <w:color w:val="000000"/>
                <w:kern w:val="0"/>
                <w:sz w:val="20"/>
                <w:szCs w:val="20"/>
              </w:rPr>
              <w:t>4.2(带尾板)</w:t>
            </w:r>
          </w:p>
        </w:tc>
        <w:tc>
          <w:tcPr>
            <w:tcW w:w="78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1</w:t>
            </w:r>
          </w:p>
        </w:tc>
        <w:tc>
          <w:tcPr>
            <w:tcW w:w="3655" w:type="dxa"/>
            <w:tcBorders>
              <w:top w:val="nil"/>
              <w:left w:val="nil"/>
              <w:bottom w:val="single" w:color="auto" w:sz="4" w:space="0"/>
              <w:right w:val="single" w:color="auto" w:sz="4" w:space="0"/>
            </w:tcBorders>
            <w:shd w:val="clear" w:color="auto" w:fill="auto"/>
            <w:noWrap/>
            <w:vAlign w:val="center"/>
          </w:tcPr>
          <w:p>
            <w:pPr>
              <w:widowControl/>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四川省成都市武侯区航空路10号2层</w:t>
            </w:r>
          </w:p>
        </w:tc>
        <w:tc>
          <w:tcPr>
            <w:tcW w:w="408"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　</w:t>
            </w:r>
          </w:p>
        </w:tc>
      </w:tr>
      <w:tr>
        <w:tblPrEx>
          <w:tblLayout w:type="fixed"/>
          <w:tblCellMar>
            <w:top w:w="0" w:type="dxa"/>
            <w:left w:w="108" w:type="dxa"/>
            <w:bottom w:w="0" w:type="dxa"/>
            <w:right w:w="108" w:type="dxa"/>
          </w:tblCellMar>
        </w:tblPrEx>
        <w:trPr>
          <w:trHeight w:val="270" w:hRule="atLeast"/>
        </w:trPr>
        <w:tc>
          <w:tcPr>
            <w:tcW w:w="5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rPr>
                <w:rFonts w:hint="eastAsia" w:ascii="宋体" w:hAnsi="宋体" w:cs="宋体"/>
                <w:color w:val="000000"/>
                <w:kern w:val="0"/>
                <w:szCs w:val="22"/>
              </w:rPr>
            </w:pPr>
          </w:p>
        </w:tc>
        <w:tc>
          <w:tcPr>
            <w:tcW w:w="68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2"/>
              </w:rPr>
            </w:pPr>
            <w:r>
              <w:rPr>
                <w:rFonts w:hint="eastAsia" w:ascii="宋体" w:hAnsi="宋体" w:cs="宋体"/>
                <w:color w:val="000000"/>
                <w:kern w:val="0"/>
                <w:szCs w:val="22"/>
              </w:rPr>
              <w:t>4708</w:t>
            </w:r>
          </w:p>
        </w:tc>
        <w:tc>
          <w:tcPr>
            <w:tcW w:w="131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2"/>
              </w:rPr>
            </w:pPr>
            <w:r>
              <w:rPr>
                <w:rFonts w:hint="eastAsia" w:ascii="宋体" w:hAnsi="宋体" w:cs="宋体"/>
                <w:color w:val="000000"/>
                <w:kern w:val="0"/>
                <w:szCs w:val="22"/>
              </w:rPr>
              <w:t>金牛店</w:t>
            </w:r>
          </w:p>
        </w:tc>
        <w:tc>
          <w:tcPr>
            <w:tcW w:w="6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成都→平度店</w:t>
            </w:r>
          </w:p>
        </w:tc>
        <w:tc>
          <w:tcPr>
            <w:tcW w:w="56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56</w:t>
            </w:r>
          </w:p>
        </w:tc>
        <w:tc>
          <w:tcPr>
            <w:tcW w:w="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8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1</w:t>
            </w:r>
          </w:p>
        </w:tc>
        <w:tc>
          <w:tcPr>
            <w:tcW w:w="3655" w:type="dxa"/>
            <w:tcBorders>
              <w:top w:val="nil"/>
              <w:left w:val="nil"/>
              <w:bottom w:val="single" w:color="auto" w:sz="4" w:space="0"/>
              <w:right w:val="single" w:color="auto" w:sz="4" w:space="0"/>
            </w:tcBorders>
            <w:shd w:val="clear" w:color="auto" w:fill="auto"/>
            <w:noWrap/>
            <w:vAlign w:val="center"/>
          </w:tcPr>
          <w:p>
            <w:pPr>
              <w:widowControl/>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成都市金牛区蜀汉路98号</w:t>
            </w:r>
          </w:p>
        </w:tc>
        <w:tc>
          <w:tcPr>
            <w:tcW w:w="408"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　</w:t>
            </w:r>
          </w:p>
        </w:tc>
      </w:tr>
      <w:tr>
        <w:tblPrEx>
          <w:tblLayout w:type="fixed"/>
          <w:tblCellMar>
            <w:top w:w="0" w:type="dxa"/>
            <w:left w:w="108" w:type="dxa"/>
            <w:bottom w:w="0" w:type="dxa"/>
            <w:right w:w="108" w:type="dxa"/>
          </w:tblCellMar>
        </w:tblPrEx>
        <w:trPr>
          <w:trHeight w:val="270" w:hRule="atLeast"/>
        </w:trPr>
        <w:tc>
          <w:tcPr>
            <w:tcW w:w="5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rPr>
                <w:rFonts w:hint="eastAsia" w:ascii="宋体" w:hAnsi="宋体" w:cs="宋体"/>
                <w:color w:val="000000"/>
                <w:kern w:val="0"/>
                <w:szCs w:val="22"/>
              </w:rPr>
            </w:pPr>
          </w:p>
        </w:tc>
        <w:tc>
          <w:tcPr>
            <w:tcW w:w="686"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4709</w:t>
            </w:r>
          </w:p>
        </w:tc>
        <w:tc>
          <w:tcPr>
            <w:tcW w:w="1317"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高新店</w:t>
            </w:r>
          </w:p>
        </w:tc>
        <w:tc>
          <w:tcPr>
            <w:tcW w:w="6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成都→高新店</w:t>
            </w:r>
          </w:p>
        </w:tc>
        <w:tc>
          <w:tcPr>
            <w:tcW w:w="56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42</w:t>
            </w:r>
          </w:p>
        </w:tc>
        <w:tc>
          <w:tcPr>
            <w:tcW w:w="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8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1</w:t>
            </w:r>
          </w:p>
        </w:tc>
        <w:tc>
          <w:tcPr>
            <w:tcW w:w="3655" w:type="dxa"/>
            <w:tcBorders>
              <w:top w:val="nil"/>
              <w:left w:val="nil"/>
              <w:bottom w:val="single" w:color="auto" w:sz="4" w:space="0"/>
              <w:right w:val="single" w:color="auto" w:sz="4" w:space="0"/>
            </w:tcBorders>
            <w:shd w:val="clear" w:color="auto" w:fill="auto"/>
            <w:noWrap/>
            <w:vAlign w:val="center"/>
          </w:tcPr>
          <w:p>
            <w:pPr>
              <w:widowControl/>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成都市高新区泰和一街88号</w:t>
            </w:r>
          </w:p>
        </w:tc>
        <w:tc>
          <w:tcPr>
            <w:tcW w:w="408"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　</w:t>
            </w:r>
          </w:p>
        </w:tc>
      </w:tr>
      <w:tr>
        <w:tblPrEx>
          <w:tblLayout w:type="fixed"/>
          <w:tblCellMar>
            <w:top w:w="0" w:type="dxa"/>
            <w:left w:w="108" w:type="dxa"/>
            <w:bottom w:w="0" w:type="dxa"/>
            <w:right w:w="108" w:type="dxa"/>
          </w:tblCellMar>
        </w:tblPrEx>
        <w:trPr>
          <w:trHeight w:val="270" w:hRule="atLeast"/>
        </w:trPr>
        <w:tc>
          <w:tcPr>
            <w:tcW w:w="5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rPr>
                <w:rFonts w:hint="eastAsia" w:ascii="宋体" w:hAnsi="宋体" w:cs="宋体"/>
                <w:color w:val="000000"/>
                <w:kern w:val="0"/>
                <w:szCs w:val="22"/>
              </w:rPr>
            </w:pPr>
          </w:p>
        </w:tc>
        <w:tc>
          <w:tcPr>
            <w:tcW w:w="686"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4710</w:t>
            </w:r>
          </w:p>
        </w:tc>
        <w:tc>
          <w:tcPr>
            <w:tcW w:w="1317"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华阳店</w:t>
            </w:r>
          </w:p>
        </w:tc>
        <w:tc>
          <w:tcPr>
            <w:tcW w:w="6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成都→华阳店</w:t>
            </w:r>
          </w:p>
        </w:tc>
        <w:tc>
          <w:tcPr>
            <w:tcW w:w="56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30</w:t>
            </w:r>
          </w:p>
        </w:tc>
        <w:tc>
          <w:tcPr>
            <w:tcW w:w="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8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1</w:t>
            </w:r>
          </w:p>
        </w:tc>
        <w:tc>
          <w:tcPr>
            <w:tcW w:w="3655" w:type="dxa"/>
            <w:tcBorders>
              <w:top w:val="nil"/>
              <w:left w:val="nil"/>
              <w:bottom w:val="single" w:color="auto" w:sz="4" w:space="0"/>
              <w:right w:val="single" w:color="auto" w:sz="4" w:space="0"/>
            </w:tcBorders>
            <w:shd w:val="clear" w:color="auto" w:fill="auto"/>
            <w:noWrap/>
            <w:vAlign w:val="center"/>
          </w:tcPr>
          <w:p>
            <w:pPr>
              <w:widowControl/>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成都华府大道二段一号</w:t>
            </w:r>
          </w:p>
        </w:tc>
        <w:tc>
          <w:tcPr>
            <w:tcW w:w="408"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　</w:t>
            </w:r>
          </w:p>
        </w:tc>
      </w:tr>
      <w:tr>
        <w:tblPrEx>
          <w:tblLayout w:type="fixed"/>
          <w:tblCellMar>
            <w:top w:w="0" w:type="dxa"/>
            <w:left w:w="108" w:type="dxa"/>
            <w:bottom w:w="0" w:type="dxa"/>
            <w:right w:w="108" w:type="dxa"/>
          </w:tblCellMar>
        </w:tblPrEx>
        <w:trPr>
          <w:trHeight w:val="270" w:hRule="atLeast"/>
        </w:trPr>
        <w:tc>
          <w:tcPr>
            <w:tcW w:w="556" w:type="dxa"/>
            <w:vMerge w:val="continue"/>
            <w:tcBorders>
              <w:top w:val="nil"/>
              <w:left w:val="single" w:color="auto" w:sz="4" w:space="0"/>
              <w:bottom w:val="single" w:color="000000" w:sz="4" w:space="0"/>
              <w:right w:val="single" w:color="auto" w:sz="4" w:space="0"/>
            </w:tcBorders>
            <w:shd w:val="clear" w:color="auto" w:fill="auto"/>
            <w:vAlign w:val="center"/>
          </w:tcPr>
          <w:p>
            <w:pPr>
              <w:widowControl/>
              <w:rPr>
                <w:rFonts w:hint="eastAsia" w:ascii="宋体" w:hAnsi="宋体" w:cs="宋体"/>
                <w:color w:val="000000"/>
                <w:kern w:val="0"/>
                <w:szCs w:val="22"/>
              </w:rPr>
            </w:pPr>
          </w:p>
        </w:tc>
        <w:tc>
          <w:tcPr>
            <w:tcW w:w="686"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4711</w:t>
            </w:r>
          </w:p>
        </w:tc>
        <w:tc>
          <w:tcPr>
            <w:tcW w:w="1317"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东升店</w:t>
            </w:r>
          </w:p>
        </w:tc>
        <w:tc>
          <w:tcPr>
            <w:tcW w:w="6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成都→东升店</w:t>
            </w:r>
          </w:p>
        </w:tc>
        <w:tc>
          <w:tcPr>
            <w:tcW w:w="56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73</w:t>
            </w:r>
          </w:p>
        </w:tc>
        <w:tc>
          <w:tcPr>
            <w:tcW w:w="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8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1</w:t>
            </w:r>
          </w:p>
        </w:tc>
        <w:tc>
          <w:tcPr>
            <w:tcW w:w="3655" w:type="dxa"/>
            <w:tcBorders>
              <w:top w:val="nil"/>
              <w:left w:val="nil"/>
              <w:bottom w:val="single" w:color="auto" w:sz="4" w:space="0"/>
              <w:right w:val="single" w:color="auto" w:sz="4" w:space="0"/>
            </w:tcBorders>
            <w:shd w:val="clear" w:color="auto" w:fill="auto"/>
            <w:noWrap/>
            <w:vAlign w:val="center"/>
          </w:tcPr>
          <w:p>
            <w:pPr>
              <w:widowControl/>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成都市双流区白衣上街177号</w:t>
            </w:r>
          </w:p>
        </w:tc>
        <w:tc>
          <w:tcPr>
            <w:tcW w:w="408"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　</w:t>
            </w:r>
          </w:p>
        </w:tc>
      </w:tr>
      <w:tr>
        <w:tblPrEx>
          <w:tblLayout w:type="fixed"/>
          <w:tblCellMar>
            <w:top w:w="0" w:type="dxa"/>
            <w:left w:w="108" w:type="dxa"/>
            <w:bottom w:w="0" w:type="dxa"/>
            <w:right w:w="108" w:type="dxa"/>
          </w:tblCellMar>
        </w:tblPrEx>
        <w:trPr>
          <w:trHeight w:val="480" w:hRule="atLeast"/>
        </w:trPr>
        <w:tc>
          <w:tcPr>
            <w:tcW w:w="556"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眉山市</w:t>
            </w:r>
          </w:p>
        </w:tc>
        <w:tc>
          <w:tcPr>
            <w:tcW w:w="68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4014</w:t>
            </w:r>
          </w:p>
        </w:tc>
        <w:tc>
          <w:tcPr>
            <w:tcW w:w="1317"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眉山店</w:t>
            </w:r>
          </w:p>
        </w:tc>
        <w:tc>
          <w:tcPr>
            <w:tcW w:w="6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成都→眉山店</w:t>
            </w:r>
          </w:p>
        </w:tc>
        <w:tc>
          <w:tcPr>
            <w:tcW w:w="56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172</w:t>
            </w:r>
          </w:p>
        </w:tc>
        <w:tc>
          <w:tcPr>
            <w:tcW w:w="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8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1</w:t>
            </w:r>
          </w:p>
        </w:tc>
        <w:tc>
          <w:tcPr>
            <w:tcW w:w="3655" w:type="dxa"/>
            <w:tcBorders>
              <w:top w:val="nil"/>
              <w:left w:val="nil"/>
              <w:bottom w:val="single" w:color="auto" w:sz="4" w:space="0"/>
              <w:right w:val="single" w:color="auto" w:sz="4" w:space="0"/>
            </w:tcBorders>
            <w:shd w:val="clear" w:color="auto" w:fill="auto"/>
            <w:noWrap/>
            <w:vAlign w:val="center"/>
          </w:tcPr>
          <w:p>
            <w:pPr>
              <w:widowControl/>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四川省眉山市东坡区东二段100号</w:t>
            </w:r>
          </w:p>
        </w:tc>
        <w:tc>
          <w:tcPr>
            <w:tcW w:w="408"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　</w:t>
            </w:r>
          </w:p>
        </w:tc>
      </w:tr>
      <w:tr>
        <w:tblPrEx>
          <w:tblLayout w:type="fixed"/>
          <w:tblCellMar>
            <w:top w:w="0" w:type="dxa"/>
            <w:left w:w="108" w:type="dxa"/>
            <w:bottom w:w="0" w:type="dxa"/>
            <w:right w:w="108" w:type="dxa"/>
          </w:tblCellMar>
        </w:tblPrEx>
        <w:trPr>
          <w:trHeight w:val="465" w:hRule="atLeast"/>
        </w:trPr>
        <w:tc>
          <w:tcPr>
            <w:tcW w:w="556" w:type="dxa"/>
            <w:tcBorders>
              <w:top w:val="nil"/>
              <w:left w:val="single" w:color="auto" w:sz="4" w:space="0"/>
              <w:bottom w:val="single" w:color="000000" w:sz="4" w:space="0"/>
              <w:right w:val="single" w:color="auto" w:sz="4" w:space="0"/>
            </w:tcBorders>
            <w:shd w:val="clear" w:color="auto" w:fill="auto"/>
            <w:vAlign w:val="center"/>
          </w:tcPr>
          <w:p>
            <w:pPr>
              <w:widowControl/>
              <w:jc w:val="both"/>
              <w:rPr>
                <w:rFonts w:hint="eastAsia" w:ascii="宋体" w:hAnsi="宋体" w:cs="宋体"/>
                <w:color w:val="000000"/>
                <w:kern w:val="0"/>
                <w:szCs w:val="22"/>
              </w:rPr>
            </w:pPr>
            <w:r>
              <w:rPr>
                <w:rFonts w:hint="eastAsia" w:ascii="宋体" w:hAnsi="宋体" w:cs="宋体"/>
                <w:color w:val="000000"/>
                <w:kern w:val="0"/>
                <w:szCs w:val="22"/>
              </w:rPr>
              <w:t>绵阳市</w:t>
            </w:r>
          </w:p>
        </w:tc>
        <w:tc>
          <w:tcPr>
            <w:tcW w:w="68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4024</w:t>
            </w:r>
          </w:p>
        </w:tc>
        <w:tc>
          <w:tcPr>
            <w:tcW w:w="1317"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cs="宋体"/>
                <w:color w:val="000000"/>
                <w:kern w:val="0"/>
                <w:szCs w:val="22"/>
              </w:rPr>
            </w:pPr>
            <w:r>
              <w:rPr>
                <w:rFonts w:hint="eastAsia" w:ascii="宋体" w:hAnsi="宋体" w:cs="宋体"/>
                <w:color w:val="000000"/>
                <w:kern w:val="0"/>
                <w:sz w:val="20"/>
                <w:szCs w:val="20"/>
                <w:lang w:bidi="ar"/>
              </w:rPr>
              <w:t>绵阳店</w:t>
            </w:r>
          </w:p>
        </w:tc>
        <w:tc>
          <w:tcPr>
            <w:tcW w:w="6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成都→绵阳店</w:t>
            </w:r>
          </w:p>
        </w:tc>
        <w:tc>
          <w:tcPr>
            <w:tcW w:w="56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286</w:t>
            </w:r>
          </w:p>
        </w:tc>
        <w:tc>
          <w:tcPr>
            <w:tcW w:w="750" w:type="dxa"/>
            <w:tcBorders>
              <w:top w:val="nil"/>
              <w:left w:val="nil"/>
              <w:bottom w:val="single" w:color="auto" w:sz="4" w:space="0"/>
              <w:right w:val="single" w:color="auto" w:sz="4" w:space="0"/>
            </w:tcBorders>
            <w:shd w:val="clear" w:color="000000" w:fill="FFFF0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8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0.5</w:t>
            </w:r>
          </w:p>
        </w:tc>
        <w:tc>
          <w:tcPr>
            <w:tcW w:w="3655" w:type="dxa"/>
            <w:tcBorders>
              <w:top w:val="nil"/>
              <w:left w:val="nil"/>
              <w:bottom w:val="single" w:color="auto" w:sz="4" w:space="0"/>
              <w:right w:val="single" w:color="auto" w:sz="4" w:space="0"/>
            </w:tcBorders>
            <w:shd w:val="clear" w:color="auto" w:fill="auto"/>
            <w:noWrap/>
            <w:vAlign w:val="center"/>
          </w:tcPr>
          <w:p>
            <w:pPr>
              <w:widowControl/>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绵阳市跃进路4号</w:t>
            </w:r>
          </w:p>
        </w:tc>
        <w:tc>
          <w:tcPr>
            <w:tcW w:w="408"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color w:val="000000"/>
                <w:kern w:val="0"/>
                <w:szCs w:val="22"/>
              </w:rPr>
            </w:pPr>
          </w:p>
        </w:tc>
      </w:tr>
      <w:tr>
        <w:tblPrEx>
          <w:tblLayout w:type="fixed"/>
          <w:tblCellMar>
            <w:top w:w="0" w:type="dxa"/>
            <w:left w:w="108" w:type="dxa"/>
            <w:bottom w:w="0" w:type="dxa"/>
            <w:right w:w="108" w:type="dxa"/>
          </w:tblCellMar>
        </w:tblPrEx>
        <w:trPr>
          <w:trHeight w:val="270" w:hRule="atLeast"/>
        </w:trPr>
        <w:tc>
          <w:tcPr>
            <w:tcW w:w="55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乐山市</w:t>
            </w:r>
          </w:p>
        </w:tc>
        <w:tc>
          <w:tcPr>
            <w:tcW w:w="68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4038</w:t>
            </w:r>
          </w:p>
        </w:tc>
        <w:tc>
          <w:tcPr>
            <w:tcW w:w="131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峨眉山店</w:t>
            </w:r>
          </w:p>
        </w:tc>
        <w:tc>
          <w:tcPr>
            <w:tcW w:w="6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成都→峨眉山店</w:t>
            </w:r>
          </w:p>
        </w:tc>
        <w:tc>
          <w:tcPr>
            <w:tcW w:w="56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316</w:t>
            </w:r>
          </w:p>
        </w:tc>
        <w:tc>
          <w:tcPr>
            <w:tcW w:w="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8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0.5</w:t>
            </w:r>
          </w:p>
        </w:tc>
        <w:tc>
          <w:tcPr>
            <w:tcW w:w="3655" w:type="dxa"/>
            <w:tcBorders>
              <w:top w:val="nil"/>
              <w:left w:val="nil"/>
              <w:bottom w:val="single" w:color="auto" w:sz="4" w:space="0"/>
              <w:right w:val="single" w:color="auto" w:sz="4" w:space="0"/>
            </w:tcBorders>
            <w:shd w:val="clear" w:color="auto" w:fill="auto"/>
            <w:noWrap/>
            <w:vAlign w:val="center"/>
          </w:tcPr>
          <w:p>
            <w:pPr>
              <w:widowControl/>
              <w:textAlignment w:val="center"/>
              <w:rPr>
                <w:rFonts w:hint="eastAsia" w:ascii="宋体" w:hAnsi="宋体" w:cs="宋体"/>
                <w:color w:val="000000"/>
                <w:kern w:val="0"/>
                <w:szCs w:val="22"/>
              </w:rPr>
            </w:pPr>
            <w:r>
              <w:rPr>
                <w:rFonts w:hint="eastAsia" w:ascii="宋体" w:hAnsi="宋体" w:cs="宋体"/>
                <w:color w:val="000000"/>
                <w:kern w:val="0"/>
                <w:sz w:val="20"/>
                <w:szCs w:val="20"/>
                <w:lang w:bidi="ar"/>
              </w:rPr>
              <w:t>乐山市峨眉山市</w:t>
            </w:r>
            <w:r>
              <w:rPr>
                <w:rFonts w:hint="eastAsia" w:ascii="宋体" w:hAnsi="宋体" w:eastAsia="宋体" w:cs="宋体"/>
                <w:color w:val="000000"/>
                <w:kern w:val="0"/>
                <w:sz w:val="20"/>
                <w:szCs w:val="20"/>
                <w:lang w:bidi="ar"/>
              </w:rPr>
              <w:t>佛光东路润彩广场.</w:t>
            </w:r>
          </w:p>
        </w:tc>
        <w:tc>
          <w:tcPr>
            <w:tcW w:w="408"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　</w:t>
            </w:r>
          </w:p>
        </w:tc>
      </w:tr>
      <w:tr>
        <w:tblPrEx>
          <w:tblLayout w:type="fixed"/>
          <w:tblCellMar>
            <w:top w:w="0" w:type="dxa"/>
            <w:left w:w="108" w:type="dxa"/>
            <w:bottom w:w="0" w:type="dxa"/>
            <w:right w:w="108" w:type="dxa"/>
          </w:tblCellMar>
        </w:tblPrEx>
        <w:trPr>
          <w:trHeight w:val="270" w:hRule="atLeast"/>
        </w:trPr>
        <w:tc>
          <w:tcPr>
            <w:tcW w:w="5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南充市</w:t>
            </w:r>
          </w:p>
        </w:tc>
        <w:tc>
          <w:tcPr>
            <w:tcW w:w="686"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4019</w:t>
            </w:r>
          </w:p>
        </w:tc>
        <w:tc>
          <w:tcPr>
            <w:tcW w:w="1317"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正阳店</w:t>
            </w:r>
          </w:p>
        </w:tc>
        <w:tc>
          <w:tcPr>
            <w:tcW w:w="6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成都→正阳店</w:t>
            </w:r>
          </w:p>
        </w:tc>
        <w:tc>
          <w:tcPr>
            <w:tcW w:w="56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444</w:t>
            </w:r>
          </w:p>
        </w:tc>
        <w:tc>
          <w:tcPr>
            <w:tcW w:w="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8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1</w:t>
            </w:r>
          </w:p>
        </w:tc>
        <w:tc>
          <w:tcPr>
            <w:tcW w:w="3655" w:type="dxa"/>
            <w:tcBorders>
              <w:top w:val="nil"/>
              <w:left w:val="nil"/>
              <w:bottom w:val="single" w:color="auto" w:sz="4" w:space="0"/>
              <w:right w:val="single" w:color="auto" w:sz="4" w:space="0"/>
            </w:tcBorders>
            <w:shd w:val="clear" w:color="auto" w:fill="auto"/>
            <w:noWrap/>
            <w:vAlign w:val="center"/>
          </w:tcPr>
          <w:p>
            <w:pPr>
              <w:widowControl/>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四川省南充市果洲大道东侧</w:t>
            </w:r>
          </w:p>
        </w:tc>
        <w:tc>
          <w:tcPr>
            <w:tcW w:w="408"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　</w:t>
            </w:r>
          </w:p>
        </w:tc>
      </w:tr>
      <w:tr>
        <w:tblPrEx>
          <w:tblLayout w:type="fixed"/>
          <w:tblCellMar>
            <w:top w:w="0" w:type="dxa"/>
            <w:left w:w="108" w:type="dxa"/>
            <w:bottom w:w="0" w:type="dxa"/>
            <w:right w:w="108" w:type="dxa"/>
          </w:tblCellMar>
        </w:tblPrEx>
        <w:trPr>
          <w:trHeight w:val="270" w:hRule="atLeast"/>
        </w:trPr>
        <w:tc>
          <w:tcPr>
            <w:tcW w:w="55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2"/>
              </w:rPr>
            </w:pPr>
          </w:p>
        </w:tc>
        <w:tc>
          <w:tcPr>
            <w:tcW w:w="686"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4020</w:t>
            </w:r>
          </w:p>
        </w:tc>
        <w:tc>
          <w:tcPr>
            <w:tcW w:w="1317"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蓝光店</w:t>
            </w:r>
          </w:p>
        </w:tc>
        <w:tc>
          <w:tcPr>
            <w:tcW w:w="6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成都→蓝光店</w:t>
            </w:r>
          </w:p>
        </w:tc>
        <w:tc>
          <w:tcPr>
            <w:tcW w:w="56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432</w:t>
            </w:r>
          </w:p>
        </w:tc>
        <w:tc>
          <w:tcPr>
            <w:tcW w:w="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8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1</w:t>
            </w:r>
          </w:p>
        </w:tc>
        <w:tc>
          <w:tcPr>
            <w:tcW w:w="3655" w:type="dxa"/>
            <w:tcBorders>
              <w:top w:val="nil"/>
              <w:left w:val="nil"/>
              <w:bottom w:val="single" w:color="auto" w:sz="4" w:space="0"/>
              <w:right w:val="single" w:color="auto" w:sz="4" w:space="0"/>
            </w:tcBorders>
            <w:shd w:val="clear" w:color="auto" w:fill="auto"/>
            <w:vAlign w:val="center"/>
          </w:tcPr>
          <w:p>
            <w:pPr>
              <w:widowControl/>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四川省南充市顺庆区文峰街与红光路交汇处</w:t>
            </w:r>
          </w:p>
        </w:tc>
        <w:tc>
          <w:tcPr>
            <w:tcW w:w="408"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color w:val="000000"/>
                <w:kern w:val="0"/>
                <w:szCs w:val="22"/>
              </w:rPr>
            </w:pPr>
          </w:p>
        </w:tc>
      </w:tr>
      <w:tr>
        <w:tblPrEx>
          <w:tblLayout w:type="fixed"/>
          <w:tblCellMar>
            <w:top w:w="0" w:type="dxa"/>
            <w:left w:w="108" w:type="dxa"/>
            <w:bottom w:w="0" w:type="dxa"/>
            <w:right w:w="108" w:type="dxa"/>
          </w:tblCellMar>
        </w:tblPrEx>
        <w:trPr>
          <w:trHeight w:val="270" w:hRule="atLeast"/>
        </w:trPr>
        <w:tc>
          <w:tcPr>
            <w:tcW w:w="55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2"/>
              </w:rPr>
            </w:pPr>
          </w:p>
        </w:tc>
        <w:tc>
          <w:tcPr>
            <w:tcW w:w="686"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4039</w:t>
            </w:r>
          </w:p>
        </w:tc>
        <w:tc>
          <w:tcPr>
            <w:tcW w:w="1317"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南部店</w:t>
            </w:r>
          </w:p>
        </w:tc>
        <w:tc>
          <w:tcPr>
            <w:tcW w:w="6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成都→南部店</w:t>
            </w:r>
          </w:p>
        </w:tc>
        <w:tc>
          <w:tcPr>
            <w:tcW w:w="56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464</w:t>
            </w:r>
          </w:p>
        </w:tc>
        <w:tc>
          <w:tcPr>
            <w:tcW w:w="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8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1</w:t>
            </w:r>
          </w:p>
        </w:tc>
        <w:tc>
          <w:tcPr>
            <w:tcW w:w="3655" w:type="dxa"/>
            <w:tcBorders>
              <w:top w:val="nil"/>
              <w:left w:val="nil"/>
              <w:bottom w:val="single" w:color="auto" w:sz="4" w:space="0"/>
              <w:right w:val="single" w:color="auto" w:sz="4" w:space="0"/>
            </w:tcBorders>
            <w:shd w:val="clear" w:color="auto" w:fill="auto"/>
            <w:noWrap/>
            <w:vAlign w:val="center"/>
          </w:tcPr>
          <w:p>
            <w:pPr>
              <w:widowControl/>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四川省南充市南部县红岩子大道西延线与国道212线东南角</w:t>
            </w:r>
          </w:p>
        </w:tc>
        <w:tc>
          <w:tcPr>
            <w:tcW w:w="408"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color w:val="000000"/>
                <w:kern w:val="0"/>
                <w:szCs w:val="22"/>
              </w:rPr>
            </w:pPr>
          </w:p>
        </w:tc>
      </w:tr>
      <w:tr>
        <w:tblPrEx>
          <w:tblLayout w:type="fixed"/>
          <w:tblCellMar>
            <w:top w:w="0" w:type="dxa"/>
            <w:left w:w="108" w:type="dxa"/>
            <w:bottom w:w="0" w:type="dxa"/>
            <w:right w:w="108" w:type="dxa"/>
          </w:tblCellMar>
        </w:tblPrEx>
        <w:trPr>
          <w:trHeight w:val="270" w:hRule="atLeast"/>
        </w:trPr>
        <w:tc>
          <w:tcPr>
            <w:tcW w:w="55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达州市</w:t>
            </w:r>
          </w:p>
        </w:tc>
        <w:tc>
          <w:tcPr>
            <w:tcW w:w="68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4058</w:t>
            </w:r>
          </w:p>
        </w:tc>
        <w:tc>
          <w:tcPr>
            <w:tcW w:w="131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渠县店</w:t>
            </w:r>
          </w:p>
        </w:tc>
        <w:tc>
          <w:tcPr>
            <w:tcW w:w="6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成都→渠县店</w:t>
            </w:r>
          </w:p>
        </w:tc>
        <w:tc>
          <w:tcPr>
            <w:tcW w:w="56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656</w:t>
            </w:r>
          </w:p>
        </w:tc>
        <w:tc>
          <w:tcPr>
            <w:tcW w:w="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8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0.5</w:t>
            </w:r>
          </w:p>
        </w:tc>
        <w:tc>
          <w:tcPr>
            <w:tcW w:w="3655" w:type="dxa"/>
            <w:tcBorders>
              <w:top w:val="nil"/>
              <w:left w:val="nil"/>
              <w:bottom w:val="single" w:color="auto" w:sz="4" w:space="0"/>
              <w:right w:val="single" w:color="auto" w:sz="4" w:space="0"/>
            </w:tcBorders>
            <w:shd w:val="clear" w:color="auto" w:fill="auto"/>
            <w:noWrap/>
            <w:vAlign w:val="center"/>
          </w:tcPr>
          <w:p>
            <w:pPr>
              <w:widowControl/>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四川省达州市渠县小溪路和规划路交叉西南侧(渠县五小</w:t>
            </w:r>
            <w:r>
              <w:rPr>
                <w:rFonts w:hint="eastAsia" w:ascii="宋体" w:hAnsi="宋体" w:cs="宋体"/>
                <w:color w:val="000000"/>
                <w:kern w:val="0"/>
                <w:sz w:val="20"/>
                <w:szCs w:val="20"/>
                <w:lang w:bidi="ar"/>
              </w:rPr>
              <w:t>校）</w:t>
            </w:r>
          </w:p>
        </w:tc>
        <w:tc>
          <w:tcPr>
            <w:tcW w:w="408"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color w:val="000000"/>
                <w:kern w:val="0"/>
                <w:szCs w:val="22"/>
              </w:rPr>
            </w:pPr>
          </w:p>
        </w:tc>
      </w:tr>
      <w:tr>
        <w:tblPrEx>
          <w:tblLayout w:type="fixed"/>
          <w:tblCellMar>
            <w:top w:w="0" w:type="dxa"/>
            <w:left w:w="108" w:type="dxa"/>
            <w:bottom w:w="0" w:type="dxa"/>
            <w:right w:w="108" w:type="dxa"/>
          </w:tblCellMar>
        </w:tblPrEx>
        <w:trPr>
          <w:trHeight w:val="270" w:hRule="atLeast"/>
        </w:trPr>
        <w:tc>
          <w:tcPr>
            <w:tcW w:w="55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宜宾市</w:t>
            </w:r>
          </w:p>
        </w:tc>
        <w:tc>
          <w:tcPr>
            <w:tcW w:w="68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4029</w:t>
            </w:r>
          </w:p>
        </w:tc>
        <w:tc>
          <w:tcPr>
            <w:tcW w:w="131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宜宾店</w:t>
            </w:r>
          </w:p>
        </w:tc>
        <w:tc>
          <w:tcPr>
            <w:tcW w:w="6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成都→宜宾店</w:t>
            </w:r>
          </w:p>
        </w:tc>
        <w:tc>
          <w:tcPr>
            <w:tcW w:w="56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520</w:t>
            </w:r>
          </w:p>
        </w:tc>
        <w:tc>
          <w:tcPr>
            <w:tcW w:w="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8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1</w:t>
            </w:r>
          </w:p>
        </w:tc>
        <w:tc>
          <w:tcPr>
            <w:tcW w:w="3655" w:type="dxa"/>
            <w:tcBorders>
              <w:top w:val="nil"/>
              <w:left w:val="nil"/>
              <w:bottom w:val="single" w:color="auto" w:sz="4" w:space="0"/>
              <w:right w:val="single" w:color="auto" w:sz="4" w:space="0"/>
            </w:tcBorders>
            <w:shd w:val="clear" w:color="auto" w:fill="auto"/>
            <w:noWrap/>
            <w:vAlign w:val="center"/>
          </w:tcPr>
          <w:p>
            <w:pPr>
              <w:widowControl/>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宜宾市南岸戎州路与航天路交汇处</w:t>
            </w:r>
          </w:p>
        </w:tc>
        <w:tc>
          <w:tcPr>
            <w:tcW w:w="408"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color w:val="000000"/>
                <w:kern w:val="0"/>
                <w:szCs w:val="22"/>
              </w:rPr>
            </w:pPr>
          </w:p>
        </w:tc>
      </w:tr>
      <w:tr>
        <w:tblPrEx>
          <w:tblLayout w:type="fixed"/>
          <w:tblCellMar>
            <w:top w:w="0" w:type="dxa"/>
            <w:left w:w="108" w:type="dxa"/>
            <w:bottom w:w="0" w:type="dxa"/>
            <w:right w:w="108" w:type="dxa"/>
          </w:tblCellMar>
        </w:tblPrEx>
        <w:trPr>
          <w:trHeight w:val="480" w:hRule="atLeast"/>
        </w:trPr>
        <w:tc>
          <w:tcPr>
            <w:tcW w:w="5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both"/>
              <w:rPr>
                <w:rFonts w:hint="eastAsia" w:ascii="宋体" w:hAnsi="宋体" w:cs="宋体"/>
                <w:color w:val="000000"/>
                <w:kern w:val="0"/>
                <w:szCs w:val="22"/>
              </w:rPr>
            </w:pPr>
            <w:r>
              <w:rPr>
                <w:rFonts w:hint="eastAsia" w:ascii="宋体" w:hAnsi="宋体" w:cs="宋体"/>
                <w:color w:val="000000"/>
                <w:kern w:val="0"/>
                <w:szCs w:val="22"/>
              </w:rPr>
              <w:t>重庆市</w:t>
            </w:r>
          </w:p>
        </w:tc>
        <w:tc>
          <w:tcPr>
            <w:tcW w:w="68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4030</w:t>
            </w:r>
          </w:p>
        </w:tc>
        <w:tc>
          <w:tcPr>
            <w:tcW w:w="131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合川店</w:t>
            </w:r>
          </w:p>
        </w:tc>
        <w:tc>
          <w:tcPr>
            <w:tcW w:w="6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成都→合川店</w:t>
            </w:r>
          </w:p>
        </w:tc>
        <w:tc>
          <w:tcPr>
            <w:tcW w:w="56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等线" w:hAnsi="等线" w:eastAsia="等线" w:cs="宋体"/>
                <w:color w:val="000000"/>
                <w:kern w:val="0"/>
                <w:szCs w:val="22"/>
              </w:rPr>
              <w:t>498</w:t>
            </w:r>
          </w:p>
        </w:tc>
        <w:tc>
          <w:tcPr>
            <w:tcW w:w="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Cs w:val="22"/>
              </w:rPr>
              <w:t>9.6</w:t>
            </w:r>
          </w:p>
        </w:tc>
        <w:tc>
          <w:tcPr>
            <w:tcW w:w="78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1</w:t>
            </w:r>
          </w:p>
        </w:tc>
        <w:tc>
          <w:tcPr>
            <w:tcW w:w="3655" w:type="dxa"/>
            <w:tcBorders>
              <w:top w:val="nil"/>
              <w:left w:val="nil"/>
              <w:bottom w:val="single" w:color="auto" w:sz="4" w:space="0"/>
              <w:right w:val="single" w:color="auto" w:sz="4" w:space="0"/>
            </w:tcBorders>
            <w:shd w:val="clear" w:color="auto" w:fill="auto"/>
            <w:noWrap/>
            <w:vAlign w:val="center"/>
          </w:tcPr>
          <w:p>
            <w:pPr>
              <w:widowControl/>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重庆市合川区交通街大润发</w:t>
            </w:r>
          </w:p>
        </w:tc>
        <w:tc>
          <w:tcPr>
            <w:tcW w:w="408"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　</w:t>
            </w:r>
          </w:p>
        </w:tc>
      </w:tr>
      <w:tr>
        <w:tblPrEx>
          <w:tblLayout w:type="fixed"/>
          <w:tblCellMar>
            <w:top w:w="0" w:type="dxa"/>
            <w:left w:w="108" w:type="dxa"/>
            <w:bottom w:w="0" w:type="dxa"/>
            <w:right w:w="108" w:type="dxa"/>
          </w:tblCellMar>
        </w:tblPrEx>
        <w:trPr>
          <w:trHeight w:val="270" w:hRule="atLeast"/>
        </w:trPr>
        <w:tc>
          <w:tcPr>
            <w:tcW w:w="55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2"/>
              </w:rPr>
            </w:pPr>
          </w:p>
        </w:tc>
        <w:tc>
          <w:tcPr>
            <w:tcW w:w="68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4052</w:t>
            </w:r>
          </w:p>
        </w:tc>
        <w:tc>
          <w:tcPr>
            <w:tcW w:w="131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荣昌店</w:t>
            </w:r>
          </w:p>
        </w:tc>
        <w:tc>
          <w:tcPr>
            <w:tcW w:w="6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成都→荣昌店</w:t>
            </w:r>
          </w:p>
        </w:tc>
        <w:tc>
          <w:tcPr>
            <w:tcW w:w="56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等线" w:hAnsi="等线" w:eastAsia="等线" w:cs="宋体"/>
                <w:color w:val="000000"/>
                <w:kern w:val="0"/>
                <w:szCs w:val="22"/>
              </w:rPr>
              <w:t>456</w:t>
            </w:r>
          </w:p>
        </w:tc>
        <w:tc>
          <w:tcPr>
            <w:tcW w:w="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Cs w:val="22"/>
              </w:rPr>
              <w:t>9.6</w:t>
            </w:r>
          </w:p>
        </w:tc>
        <w:tc>
          <w:tcPr>
            <w:tcW w:w="78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1</w:t>
            </w:r>
          </w:p>
        </w:tc>
        <w:tc>
          <w:tcPr>
            <w:tcW w:w="3655" w:type="dxa"/>
            <w:tcBorders>
              <w:top w:val="nil"/>
              <w:left w:val="nil"/>
              <w:bottom w:val="single" w:color="auto" w:sz="4" w:space="0"/>
              <w:right w:val="single" w:color="auto" w:sz="4" w:space="0"/>
            </w:tcBorders>
            <w:shd w:val="clear" w:color="auto" w:fill="auto"/>
            <w:noWrap/>
            <w:vAlign w:val="center"/>
          </w:tcPr>
          <w:p>
            <w:pPr>
              <w:widowControl/>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重庆市荣昌区昌元街道宝荣路23号</w:t>
            </w:r>
          </w:p>
        </w:tc>
        <w:tc>
          <w:tcPr>
            <w:tcW w:w="408"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color w:val="000000"/>
                <w:kern w:val="0"/>
                <w:szCs w:val="22"/>
              </w:rPr>
            </w:pPr>
          </w:p>
        </w:tc>
      </w:tr>
      <w:tr>
        <w:tblPrEx>
          <w:tblLayout w:type="fixed"/>
          <w:tblCellMar>
            <w:top w:w="0" w:type="dxa"/>
            <w:left w:w="108" w:type="dxa"/>
            <w:bottom w:w="0" w:type="dxa"/>
            <w:right w:w="108" w:type="dxa"/>
          </w:tblCellMar>
        </w:tblPrEx>
        <w:trPr>
          <w:trHeight w:val="270" w:hRule="atLeast"/>
        </w:trPr>
        <w:tc>
          <w:tcPr>
            <w:tcW w:w="55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2"/>
              </w:rPr>
            </w:pPr>
          </w:p>
        </w:tc>
        <w:tc>
          <w:tcPr>
            <w:tcW w:w="68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4056</w:t>
            </w:r>
          </w:p>
        </w:tc>
        <w:tc>
          <w:tcPr>
            <w:tcW w:w="131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璧山店</w:t>
            </w:r>
          </w:p>
        </w:tc>
        <w:tc>
          <w:tcPr>
            <w:tcW w:w="6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成都→璧山店</w:t>
            </w:r>
          </w:p>
        </w:tc>
        <w:tc>
          <w:tcPr>
            <w:tcW w:w="56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等线" w:hAnsi="等线" w:eastAsia="等线" w:cs="宋体"/>
                <w:color w:val="000000"/>
                <w:kern w:val="0"/>
                <w:szCs w:val="22"/>
              </w:rPr>
              <w:t>520</w:t>
            </w:r>
          </w:p>
        </w:tc>
        <w:tc>
          <w:tcPr>
            <w:tcW w:w="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Cs w:val="22"/>
              </w:rPr>
              <w:t>9.6</w:t>
            </w:r>
          </w:p>
        </w:tc>
        <w:tc>
          <w:tcPr>
            <w:tcW w:w="78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1</w:t>
            </w:r>
          </w:p>
        </w:tc>
        <w:tc>
          <w:tcPr>
            <w:tcW w:w="3655" w:type="dxa"/>
            <w:tcBorders>
              <w:top w:val="nil"/>
              <w:left w:val="nil"/>
              <w:bottom w:val="single" w:color="auto" w:sz="4" w:space="0"/>
              <w:right w:val="single" w:color="auto" w:sz="4" w:space="0"/>
            </w:tcBorders>
            <w:shd w:val="clear" w:color="auto" w:fill="auto"/>
            <w:noWrap/>
            <w:vAlign w:val="center"/>
          </w:tcPr>
          <w:p>
            <w:pPr>
              <w:widowControl/>
              <w:textAlignment w:val="center"/>
              <w:rPr>
                <w:rFonts w:hint="eastAsia" w:ascii="宋体" w:hAnsi="宋体" w:cs="宋体"/>
                <w:color w:val="000000"/>
                <w:kern w:val="0"/>
                <w:szCs w:val="22"/>
              </w:rPr>
            </w:pPr>
            <w:r>
              <w:rPr>
                <w:rFonts w:hint="eastAsia" w:ascii="宋体" w:hAnsi="宋体" w:eastAsia="宋体" w:cs="宋体"/>
                <w:color w:val="000000"/>
                <w:kern w:val="0"/>
                <w:sz w:val="20"/>
                <w:szCs w:val="20"/>
                <w:lang w:bidi="ar"/>
              </w:rPr>
              <w:t>重庆市璧山区沿河西路南段88号</w:t>
            </w:r>
          </w:p>
        </w:tc>
        <w:tc>
          <w:tcPr>
            <w:tcW w:w="408"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color w:val="000000"/>
                <w:kern w:val="0"/>
                <w:szCs w:val="22"/>
              </w:rPr>
            </w:pPr>
          </w:p>
        </w:tc>
      </w:tr>
      <w:tr>
        <w:tblPrEx>
          <w:tblLayout w:type="fixed"/>
          <w:tblCellMar>
            <w:top w:w="0" w:type="dxa"/>
            <w:left w:w="108" w:type="dxa"/>
            <w:bottom w:w="0" w:type="dxa"/>
            <w:right w:w="108" w:type="dxa"/>
          </w:tblCellMar>
        </w:tblPrEx>
        <w:trPr>
          <w:trHeight w:val="270" w:hRule="atLeast"/>
        </w:trPr>
        <w:tc>
          <w:tcPr>
            <w:tcW w:w="556" w:type="dxa"/>
            <w:tcBorders>
              <w:top w:val="nil"/>
              <w:left w:val="single" w:color="auto" w:sz="4" w:space="0"/>
              <w:bottom w:val="single" w:color="auto" w:sz="4" w:space="0"/>
              <w:right w:val="single" w:color="auto" w:sz="4" w:space="0"/>
            </w:tcBorders>
            <w:shd w:val="clear" w:color="auto" w:fill="auto"/>
            <w:noWrap/>
            <w:vAlign w:val="center"/>
          </w:tcPr>
          <w:p>
            <w:pPr>
              <w:widowControl/>
              <w:jc w:val="both"/>
              <w:rPr>
                <w:rFonts w:hint="eastAsia" w:ascii="宋体" w:hAnsi="宋体" w:cs="宋体"/>
                <w:color w:val="000000"/>
                <w:kern w:val="0"/>
                <w:szCs w:val="22"/>
              </w:rPr>
            </w:pPr>
            <w:r>
              <w:rPr>
                <w:rFonts w:hint="eastAsia" w:ascii="宋体" w:hAnsi="宋体" w:cs="宋体"/>
                <w:color w:val="000000"/>
                <w:kern w:val="0"/>
                <w:szCs w:val="22"/>
              </w:rPr>
              <w:t>咸宁市</w:t>
            </w:r>
          </w:p>
        </w:tc>
        <w:tc>
          <w:tcPr>
            <w:tcW w:w="68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4999</w:t>
            </w:r>
          </w:p>
        </w:tc>
        <w:tc>
          <w:tcPr>
            <w:tcW w:w="131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干线运输</w:t>
            </w:r>
          </w:p>
        </w:tc>
        <w:tc>
          <w:tcPr>
            <w:tcW w:w="6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成都仓→赤壁仓</w:t>
            </w:r>
          </w:p>
        </w:tc>
        <w:tc>
          <w:tcPr>
            <w:tcW w:w="56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等线" w:hAnsi="等线" w:eastAsia="等线" w:cs="宋体"/>
                <w:color w:val="000000"/>
                <w:kern w:val="0"/>
                <w:szCs w:val="22"/>
              </w:rPr>
              <w:t>2328</w:t>
            </w:r>
          </w:p>
        </w:tc>
        <w:tc>
          <w:tcPr>
            <w:tcW w:w="7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Cs w:val="22"/>
              </w:rPr>
              <w:t>14.6/18</w:t>
            </w:r>
          </w:p>
        </w:tc>
        <w:tc>
          <w:tcPr>
            <w:tcW w:w="78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0.4</w:t>
            </w:r>
          </w:p>
        </w:tc>
        <w:tc>
          <w:tcPr>
            <w:tcW w:w="36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2"/>
              </w:rPr>
            </w:pPr>
            <w:r>
              <w:rPr>
                <w:rFonts w:ascii="宋体" w:hAnsi="宋体" w:eastAsia="宋体" w:cs="宋体"/>
                <w:sz w:val="24"/>
              </w:rPr>
              <w:t>赤壁市京珠高速赤壁出口与S214省道交汇处</w:t>
            </w:r>
          </w:p>
        </w:tc>
        <w:tc>
          <w:tcPr>
            <w:tcW w:w="408"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color w:val="000000"/>
                <w:kern w:val="0"/>
                <w:szCs w:val="22"/>
              </w:rPr>
            </w:pPr>
            <w:r>
              <w:rPr>
                <w:rFonts w:hint="eastAsia" w:ascii="宋体" w:hAnsi="宋体" w:cs="宋体"/>
                <w:color w:val="000000"/>
                <w:kern w:val="0"/>
                <w:szCs w:val="22"/>
              </w:rPr>
              <w:t>　</w:t>
            </w:r>
          </w:p>
        </w:tc>
      </w:tr>
    </w:tbl>
    <w:p>
      <w:pPr>
        <w:tabs>
          <w:tab w:val="left" w:pos="1440"/>
        </w:tabs>
        <w:adjustRightInd w:val="0"/>
        <w:snapToGrid w:val="0"/>
        <w:ind w:left="420"/>
        <w:rPr>
          <w:rFonts w:hint="eastAsia"/>
        </w:rPr>
      </w:pPr>
    </w:p>
    <w:p>
      <w:pPr>
        <w:rPr>
          <w:rFonts w:hint="eastAsia"/>
          <w:b/>
          <w:bCs/>
        </w:rPr>
      </w:pPr>
      <w:r>
        <w:rPr>
          <w:b/>
          <w:bCs/>
        </w:rPr>
        <w:t>二、投标资格要求</w:t>
      </w:r>
    </w:p>
    <w:p>
      <w:pPr>
        <w:numPr>
          <w:ilvl w:val="0"/>
          <w:numId w:val="3"/>
        </w:numPr>
        <w:rPr>
          <w:rFonts w:hint="eastAsia"/>
        </w:rPr>
      </w:pPr>
      <w:r>
        <w:rPr>
          <w:b/>
          <w:bCs/>
        </w:rPr>
        <w:t>基本资质</w:t>
      </w:r>
      <w:r>
        <w:t>：</w:t>
      </w:r>
    </w:p>
    <w:p>
      <w:pPr>
        <w:numPr>
          <w:ilvl w:val="0"/>
          <w:numId w:val="4"/>
        </w:numPr>
        <w:tabs>
          <w:tab w:val="left" w:pos="1440"/>
        </w:tabs>
        <w:adjustRightInd w:val="0"/>
        <w:snapToGrid w:val="0"/>
        <w:rPr>
          <w:rFonts w:hint="eastAsia"/>
        </w:rPr>
      </w:pPr>
      <w:r>
        <w:t>投标人须为具备独立法人资格的企业（提供有效期内营业执照，若为“三证合一”企业，需提供统一社会信用代码证明）。</w:t>
      </w:r>
    </w:p>
    <w:p>
      <w:pPr>
        <w:numPr>
          <w:ilvl w:val="0"/>
          <w:numId w:val="4"/>
        </w:numPr>
        <w:tabs>
          <w:tab w:val="left" w:pos="1440"/>
        </w:tabs>
        <w:adjustRightInd w:val="0"/>
        <w:snapToGrid w:val="0"/>
        <w:rPr>
          <w:rFonts w:hint="eastAsia"/>
        </w:rPr>
      </w:pPr>
      <w:r>
        <w:t>注册资金不低于人民币150万元（以营业执照为准）。</w:t>
      </w:r>
    </w:p>
    <w:p>
      <w:pPr>
        <w:numPr>
          <w:ilvl w:val="0"/>
          <w:numId w:val="3"/>
        </w:numPr>
        <w:rPr>
          <w:rFonts w:hint="eastAsia"/>
        </w:rPr>
      </w:pPr>
      <w:r>
        <w:rPr>
          <w:b/>
          <w:bCs/>
        </w:rPr>
        <w:t>行业资质</w:t>
      </w:r>
      <w:r>
        <w:t>：</w:t>
      </w:r>
    </w:p>
    <w:p>
      <w:pPr>
        <w:numPr>
          <w:ilvl w:val="0"/>
          <w:numId w:val="5"/>
        </w:numPr>
        <w:tabs>
          <w:tab w:val="left" w:pos="1440"/>
        </w:tabs>
        <w:adjustRightInd w:val="0"/>
        <w:snapToGrid w:val="0"/>
        <w:rPr>
          <w:rFonts w:hint="eastAsia"/>
        </w:rPr>
      </w:pPr>
      <w:r>
        <w:t>持有有效期内的《道路运输经营许可证》，具备2年以上运输配送经验，无重大合作纠纷或不良履约记录。</w:t>
      </w:r>
    </w:p>
    <w:p>
      <w:pPr>
        <w:numPr>
          <w:ilvl w:val="0"/>
          <w:numId w:val="5"/>
        </w:numPr>
        <w:tabs>
          <w:tab w:val="left" w:pos="1440"/>
        </w:tabs>
        <w:adjustRightInd w:val="0"/>
        <w:snapToGrid w:val="0"/>
        <w:rPr>
          <w:rFonts w:hint="eastAsia"/>
        </w:rPr>
      </w:pPr>
      <w:r>
        <w:t>可开具税率为9%的增值税专用发票。</w:t>
      </w:r>
    </w:p>
    <w:p>
      <w:pPr>
        <w:numPr>
          <w:ilvl w:val="0"/>
          <w:numId w:val="3"/>
        </w:numPr>
        <w:rPr>
          <w:rFonts w:hint="eastAsia"/>
        </w:rPr>
      </w:pPr>
      <w:r>
        <w:rPr>
          <w:b/>
          <w:bCs/>
        </w:rPr>
        <w:t>车辆要求</w:t>
      </w:r>
      <w:r>
        <w:t>：</w:t>
      </w:r>
    </w:p>
    <w:p>
      <w:pPr>
        <w:numPr>
          <w:ilvl w:val="0"/>
          <w:numId w:val="6"/>
        </w:numPr>
        <w:tabs>
          <w:tab w:val="left" w:pos="1440"/>
        </w:tabs>
        <w:adjustRightInd w:val="0"/>
        <w:snapToGrid w:val="0"/>
        <w:rPr>
          <w:rFonts w:hint="eastAsia"/>
        </w:rPr>
      </w:pPr>
      <w:r>
        <w:t>全部使用厢式货车（禁止使用平板车、高栏车、冷藏车及带尾板车辆）。</w:t>
      </w:r>
    </w:p>
    <w:p>
      <w:pPr>
        <w:numPr>
          <w:ilvl w:val="0"/>
          <w:numId w:val="6"/>
        </w:numPr>
        <w:tabs>
          <w:tab w:val="left" w:pos="1440"/>
        </w:tabs>
        <w:adjustRightInd w:val="0"/>
        <w:snapToGrid w:val="0"/>
        <w:rPr>
          <w:rFonts w:hint="eastAsia"/>
        </w:rPr>
      </w:pPr>
      <w:r>
        <w:t>投标时需附车辆行驶证或新能源车辆资质证明文件（自有车辆优先）。</w:t>
      </w:r>
    </w:p>
    <w:p>
      <w:pPr>
        <w:numPr>
          <w:ilvl w:val="0"/>
          <w:numId w:val="3"/>
        </w:numPr>
        <w:rPr>
          <w:rFonts w:hint="eastAsia"/>
        </w:rPr>
      </w:pPr>
      <w:r>
        <w:rPr>
          <w:b/>
          <w:bCs/>
        </w:rPr>
        <w:t>其他要求</w:t>
      </w:r>
      <w:r>
        <w:t>：</w:t>
      </w:r>
    </w:p>
    <w:p>
      <w:pPr>
        <w:numPr>
          <w:ilvl w:val="0"/>
          <w:numId w:val="7"/>
        </w:numPr>
        <w:adjustRightInd w:val="0"/>
        <w:snapToGrid w:val="0"/>
        <w:rPr>
          <w:rFonts w:hint="eastAsia"/>
        </w:rPr>
      </w:pPr>
      <w:r>
        <w:t>本项目不接受联合体投标，仅允许单一法人主体参与。</w:t>
      </w:r>
    </w:p>
    <w:p>
      <w:pPr>
        <w:numPr>
          <w:ilvl w:val="0"/>
          <w:numId w:val="7"/>
        </w:numPr>
        <w:adjustRightInd w:val="0"/>
        <w:snapToGrid w:val="0"/>
        <w:rPr>
          <w:rFonts w:hint="eastAsia"/>
        </w:rPr>
      </w:pPr>
      <w:r>
        <w:t>投标文件需以书面形式密封递交（具体要求见“投标文件提交规范”）。</w:t>
      </w:r>
    </w:p>
    <w:p>
      <w:pPr>
        <w:numPr>
          <w:ilvl w:val="0"/>
          <w:numId w:val="7"/>
        </w:numPr>
        <w:adjustRightInd w:val="0"/>
        <w:snapToGrid w:val="0"/>
        <w:rPr>
          <w:rFonts w:hint="eastAsia"/>
        </w:rPr>
      </w:pPr>
      <w:r>
        <w:rPr>
          <w:rFonts w:hint="eastAsia"/>
        </w:rPr>
        <w:t>合同期限为2025年4月1日-2026年3月31日，合同期间表现优异公司可续签合同。</w:t>
      </w:r>
    </w:p>
    <w:p>
      <w:pPr>
        <w:rPr>
          <w:rFonts w:hint="eastAsia"/>
          <w:b/>
          <w:bCs/>
        </w:rPr>
      </w:pPr>
      <w:r>
        <w:rPr>
          <w:b/>
          <w:bCs/>
        </w:rPr>
        <w:t>三、投标文件提交要求</w:t>
      </w:r>
    </w:p>
    <w:p>
      <w:pPr>
        <w:numPr>
          <w:ilvl w:val="0"/>
          <w:numId w:val="8"/>
        </w:numPr>
        <w:rPr>
          <w:rFonts w:hint="eastAsia"/>
        </w:rPr>
      </w:pPr>
      <w:r>
        <w:rPr>
          <w:b/>
          <w:bCs/>
        </w:rPr>
        <w:t>必备资料</w:t>
      </w:r>
      <w:r>
        <w:t>：</w:t>
      </w:r>
    </w:p>
    <w:p>
      <w:pPr>
        <w:numPr>
          <w:ilvl w:val="0"/>
          <w:numId w:val="4"/>
        </w:numPr>
        <w:adjustRightInd w:val="0"/>
        <w:snapToGrid w:val="0"/>
        <w:rPr>
          <w:rFonts w:hint="eastAsia"/>
        </w:rPr>
      </w:pPr>
      <w:r>
        <w:t>企业营业执照、道路运输经营许可证、法人身份证复印件（均需加盖公章）。</w:t>
      </w:r>
    </w:p>
    <w:p>
      <w:pPr>
        <w:numPr>
          <w:ilvl w:val="0"/>
          <w:numId w:val="4"/>
        </w:numPr>
        <w:adjustRightInd w:val="0"/>
        <w:snapToGrid w:val="0"/>
        <w:rPr>
          <w:rFonts w:hint="eastAsia"/>
        </w:rPr>
      </w:pPr>
      <w:r>
        <w:t>自有车辆行驶证或新能源车辆资质证明文件。</w:t>
      </w:r>
    </w:p>
    <w:p>
      <w:pPr>
        <w:numPr>
          <w:ilvl w:val="0"/>
          <w:numId w:val="8"/>
        </w:numPr>
        <w:rPr>
          <w:rFonts w:hint="eastAsia"/>
        </w:rPr>
      </w:pPr>
      <w:r>
        <w:rPr>
          <w:b/>
          <w:bCs/>
        </w:rPr>
        <w:t>技术文件</w:t>
      </w:r>
      <w:r>
        <w:t>：</w:t>
      </w:r>
    </w:p>
    <w:p>
      <w:pPr>
        <w:numPr>
          <w:ilvl w:val="0"/>
          <w:numId w:val="9"/>
        </w:numPr>
        <w:adjustRightInd w:val="0"/>
        <w:snapToGrid w:val="0"/>
        <w:rPr>
          <w:rFonts w:hint="eastAsia"/>
        </w:rPr>
      </w:pPr>
      <w:r>
        <w:t>投标线路配送方案（含运力配置、时效保障、应急机制等）。</w:t>
      </w:r>
    </w:p>
    <w:p>
      <w:pPr>
        <w:numPr>
          <w:ilvl w:val="0"/>
          <w:numId w:val="9"/>
        </w:numPr>
        <w:adjustRightInd w:val="0"/>
        <w:snapToGrid w:val="0"/>
        <w:rPr>
          <w:rFonts w:hint="eastAsia"/>
        </w:rPr>
      </w:pPr>
      <w:r>
        <w:t>按招标方提供的《技术评审表》补充相关技术资料。</w:t>
      </w:r>
    </w:p>
    <w:p>
      <w:pPr>
        <w:numPr>
          <w:ilvl w:val="0"/>
          <w:numId w:val="8"/>
        </w:numPr>
        <w:rPr>
          <w:rFonts w:hint="eastAsia"/>
        </w:rPr>
      </w:pPr>
      <w:r>
        <w:rPr>
          <w:b/>
          <w:bCs/>
        </w:rPr>
        <w:t>提交规范</w:t>
      </w:r>
      <w:r>
        <w:t>：</w:t>
      </w:r>
    </w:p>
    <w:p>
      <w:pPr>
        <w:numPr>
          <w:ilvl w:val="0"/>
          <w:numId w:val="10"/>
        </w:numPr>
        <w:adjustRightInd w:val="0"/>
        <w:snapToGrid w:val="0"/>
        <w:rPr>
          <w:rFonts w:hint="eastAsia"/>
          <w:color w:val="FF0000"/>
        </w:rPr>
      </w:pPr>
      <w:r>
        <w:rPr>
          <w:color w:val="FF0000"/>
        </w:rPr>
        <w:t>资格标书与价格标书须分别密封，封口处加盖公章，封面标明“资格标”或“价格标”字样。</w:t>
      </w:r>
    </w:p>
    <w:p>
      <w:pPr>
        <w:numPr>
          <w:ilvl w:val="0"/>
          <w:numId w:val="10"/>
        </w:numPr>
        <w:adjustRightInd w:val="0"/>
        <w:snapToGrid w:val="0"/>
        <w:rPr>
          <w:rFonts w:hint="eastAsia"/>
          <w:color w:val="FF0000"/>
        </w:rPr>
      </w:pPr>
      <w:r>
        <w:rPr>
          <w:color w:val="FF0000"/>
        </w:rPr>
        <w:t>文件递交截止时间：2025年3月10日00:00前（以签收时间为准），逾期视为弃权。</w:t>
      </w:r>
    </w:p>
    <w:p>
      <w:pPr>
        <w:rPr>
          <w:rFonts w:hint="eastAsia"/>
          <w:b/>
          <w:bCs/>
        </w:rPr>
      </w:pPr>
      <w:r>
        <w:rPr>
          <w:b/>
          <w:bCs/>
        </w:rPr>
        <w:t>四、招标流程</w:t>
      </w:r>
    </w:p>
    <w:p>
      <w:pPr>
        <w:numPr>
          <w:ilvl w:val="0"/>
          <w:numId w:val="11"/>
        </w:numPr>
        <w:rPr>
          <w:rFonts w:hint="eastAsia"/>
        </w:rPr>
      </w:pPr>
      <w:r>
        <w:rPr>
          <w:b/>
          <w:bCs/>
        </w:rPr>
        <w:t>信息发布</w:t>
      </w:r>
      <w:r>
        <w:t>：招标公告发布于必德物流招标网（</w:t>
      </w:r>
      <w:r>
        <w:fldChar w:fldCharType="begin"/>
      </w:r>
      <w:r>
        <w:instrText xml:space="preserve"> HYPERLINK "http://www.56bid.com/index.aspx%EF%BC%89%E3%80%82" \t "_blank" </w:instrText>
      </w:r>
      <w:r>
        <w:fldChar w:fldCharType="separate"/>
      </w:r>
      <w:r>
        <w:rPr>
          <w:rStyle w:val="17"/>
        </w:rPr>
        <w:t>http://www.56bid.com/index.aspx）。</w:t>
      </w:r>
      <w:r>
        <w:rPr>
          <w:rStyle w:val="17"/>
        </w:rPr>
        <w:fldChar w:fldCharType="end"/>
      </w:r>
    </w:p>
    <w:p>
      <w:pPr>
        <w:numPr>
          <w:ilvl w:val="0"/>
          <w:numId w:val="11"/>
        </w:numPr>
        <w:rPr>
          <w:rFonts w:hint="eastAsia"/>
        </w:rPr>
      </w:pPr>
      <w:r>
        <w:rPr>
          <w:b/>
          <w:bCs/>
        </w:rPr>
        <w:t>资格预审</w:t>
      </w:r>
      <w:r>
        <w:t>：招标方向意向投标方发放资格预审文件，通过初审的企业需提交资质原件核验。</w:t>
      </w:r>
    </w:p>
    <w:p>
      <w:pPr>
        <w:numPr>
          <w:ilvl w:val="0"/>
          <w:numId w:val="11"/>
        </w:numPr>
        <w:rPr>
          <w:rFonts w:hint="eastAsia"/>
        </w:rPr>
      </w:pPr>
      <w:r>
        <w:rPr>
          <w:b/>
          <w:bCs/>
        </w:rPr>
        <w:t>投标与评审</w:t>
      </w:r>
      <w:r>
        <w:t>：</w:t>
      </w:r>
    </w:p>
    <w:p>
      <w:pPr>
        <w:numPr>
          <w:ilvl w:val="1"/>
          <w:numId w:val="11"/>
        </w:numPr>
        <w:rPr>
          <w:rFonts w:hint="eastAsia"/>
        </w:rPr>
      </w:pPr>
      <w:r>
        <w:t>通过资格预审的投标方需按时提交资格标书（不含报价）。</w:t>
      </w:r>
    </w:p>
    <w:p>
      <w:pPr>
        <w:numPr>
          <w:ilvl w:val="1"/>
          <w:numId w:val="11"/>
        </w:numPr>
        <w:rPr>
          <w:rFonts w:hint="eastAsia"/>
        </w:rPr>
      </w:pPr>
      <w:r>
        <w:t>招标方组织技术评审与资质原件审核，通过后通知入围企业提交价格标书。</w:t>
      </w:r>
    </w:p>
    <w:p>
      <w:pPr>
        <w:numPr>
          <w:ilvl w:val="0"/>
          <w:numId w:val="11"/>
        </w:numPr>
        <w:rPr>
          <w:rFonts w:hint="eastAsia"/>
        </w:rPr>
      </w:pPr>
      <w:r>
        <w:rPr>
          <w:b/>
          <w:bCs/>
        </w:rPr>
        <w:t>开标与定标</w:t>
      </w:r>
      <w:r>
        <w:t>：按法定程序开标，综合评估后确定中标候选人。</w:t>
      </w:r>
    </w:p>
    <w:p>
      <w:pPr>
        <w:numPr>
          <w:ilvl w:val="0"/>
          <w:numId w:val="11"/>
        </w:numPr>
        <w:rPr>
          <w:rFonts w:hint="eastAsia"/>
        </w:rPr>
      </w:pPr>
      <w:r>
        <w:rPr>
          <w:b/>
          <w:bCs/>
        </w:rPr>
        <w:t>合同签订</w:t>
      </w:r>
      <w:r>
        <w:t>：与中标方进行商务谈判并签署运输服务合同，完成备案手续。</w:t>
      </w:r>
    </w:p>
    <w:p>
      <w:pPr>
        <w:rPr>
          <w:rFonts w:hint="eastAsia"/>
          <w:b/>
          <w:bCs/>
        </w:rPr>
      </w:pPr>
      <w:r>
        <w:rPr>
          <w:b/>
          <w:bCs/>
        </w:rPr>
        <w:t>五、其他说明</w:t>
      </w:r>
    </w:p>
    <w:p>
      <w:pPr>
        <w:numPr>
          <w:ilvl w:val="0"/>
          <w:numId w:val="12"/>
        </w:numPr>
        <w:rPr>
          <w:rFonts w:hint="eastAsia"/>
        </w:rPr>
      </w:pPr>
      <w:r>
        <w:t>招标方保留对招标文件条款的解释权及调整权利。</w:t>
      </w:r>
    </w:p>
    <w:p>
      <w:pPr>
        <w:numPr>
          <w:ilvl w:val="0"/>
          <w:numId w:val="12"/>
        </w:numPr>
        <w:rPr>
          <w:rFonts w:hint="eastAsia"/>
        </w:rPr>
      </w:pPr>
      <w:r>
        <w:t>未明事项可致电招标办公室咨询（联系方式详见公告）。</w:t>
      </w:r>
    </w:p>
    <w:p>
      <w:pPr>
        <w:rPr>
          <w:rFonts w:hint="eastAsia"/>
          <w:b/>
          <w:bCs/>
        </w:rPr>
      </w:pPr>
      <w:r>
        <w:rPr>
          <w:rFonts w:hint="eastAsia"/>
          <w:b/>
          <w:bCs/>
        </w:rPr>
        <w:t>六、投标时间要求：</w:t>
      </w:r>
    </w:p>
    <w:p>
      <w:pPr>
        <w:numPr>
          <w:ilvl w:val="0"/>
          <w:numId w:val="13"/>
        </w:numPr>
        <w:rPr>
          <w:rFonts w:hint="eastAsia"/>
        </w:rPr>
      </w:pPr>
      <w:r>
        <w:rPr>
          <w:rFonts w:hint="eastAsia"/>
        </w:rPr>
        <w:t>投标公司资质提交日期：3月5日-3月9日（5天）</w:t>
      </w:r>
    </w:p>
    <w:p>
      <w:pPr>
        <w:numPr>
          <w:ilvl w:val="0"/>
          <w:numId w:val="13"/>
        </w:numPr>
        <w:rPr>
          <w:rFonts w:hint="eastAsia"/>
        </w:rPr>
      </w:pPr>
      <w:r>
        <w:rPr>
          <w:rFonts w:hint="eastAsia"/>
        </w:rPr>
        <w:t>投标公司资质审核日期：3月10日（1天）</w:t>
      </w:r>
    </w:p>
    <w:p>
      <w:pPr>
        <w:numPr>
          <w:ilvl w:val="0"/>
          <w:numId w:val="13"/>
        </w:numPr>
        <w:rPr>
          <w:rFonts w:hint="eastAsia"/>
        </w:rPr>
      </w:pPr>
      <w:r>
        <w:rPr>
          <w:rFonts w:hint="eastAsia"/>
        </w:rPr>
        <w:t>发送投标公司报价单日期：3月11日（1天）</w:t>
      </w:r>
    </w:p>
    <w:p>
      <w:pPr>
        <w:numPr>
          <w:ilvl w:val="0"/>
          <w:numId w:val="13"/>
        </w:numPr>
        <w:rPr>
          <w:rFonts w:hint="eastAsia"/>
        </w:rPr>
      </w:pPr>
      <w:r>
        <w:rPr>
          <w:rFonts w:hint="eastAsia"/>
        </w:rPr>
        <w:t>投标公司报价单提交日期：3月11日-3月13日（3天）</w:t>
      </w:r>
    </w:p>
    <w:p>
      <w:pPr>
        <w:numPr>
          <w:ilvl w:val="0"/>
          <w:numId w:val="13"/>
        </w:numPr>
        <w:rPr>
          <w:rFonts w:hint="eastAsia"/>
        </w:rPr>
      </w:pPr>
      <w:r>
        <w:rPr>
          <w:rFonts w:hint="eastAsia"/>
        </w:rPr>
        <w:t>价格标开标日期：3月14日（1天）</w:t>
      </w:r>
    </w:p>
    <w:p>
      <w:pPr>
        <w:numPr>
          <w:ilvl w:val="0"/>
          <w:numId w:val="13"/>
        </w:numPr>
        <w:rPr>
          <w:rFonts w:hint="eastAsia"/>
        </w:rPr>
      </w:pPr>
      <w:r>
        <w:rPr>
          <w:rFonts w:hint="eastAsia"/>
        </w:rPr>
        <w:t>议价日期：3月15日-3</w:t>
      </w:r>
      <w:r>
        <w:rPr>
          <w:rFonts w:hint="eastAsia"/>
          <w:lang w:val="en-US" w:eastAsia="zh-CN"/>
        </w:rPr>
        <w:t>月</w:t>
      </w:r>
      <w:r>
        <w:rPr>
          <w:rFonts w:hint="eastAsia"/>
        </w:rPr>
        <w:t>16日（2天）</w:t>
      </w:r>
    </w:p>
    <w:p>
      <w:pPr>
        <w:numPr>
          <w:ilvl w:val="0"/>
          <w:numId w:val="13"/>
        </w:numPr>
        <w:rPr>
          <w:rFonts w:hint="eastAsia"/>
        </w:rPr>
      </w:pPr>
      <w:r>
        <w:rPr>
          <w:rFonts w:hint="eastAsia"/>
        </w:rPr>
        <w:t>招标物流公司确认日期：3月17日</w:t>
      </w:r>
      <w:bookmarkStart w:id="0" w:name="_GoBack"/>
      <w:bookmarkEnd w:id="0"/>
    </w:p>
    <w:p>
      <w:pPr>
        <w:rPr>
          <w:rFonts w:hint="eastAsia"/>
          <w:b/>
          <w:bCs/>
        </w:rPr>
      </w:pPr>
      <w:r>
        <w:rPr>
          <w:rFonts w:hint="eastAsia"/>
          <w:b/>
          <w:bCs/>
        </w:rPr>
        <w:t>七、联系方式：</w:t>
      </w:r>
    </w:p>
    <w:p>
      <w:pPr>
        <w:pStyle w:val="31"/>
        <w:numPr>
          <w:ilvl w:val="0"/>
          <w:numId w:val="14"/>
        </w:numPr>
        <w:rPr>
          <w:rFonts w:hint="eastAsia" w:ascii="华文细黑" w:hAnsi="华文细黑" w:eastAsia="华文细黑"/>
          <w:sz w:val="24"/>
          <w:szCs w:val="30"/>
        </w:rPr>
      </w:pPr>
      <w:r>
        <w:rPr>
          <w:rFonts w:hint="eastAsia" w:ascii="华文细黑" w:hAnsi="华文细黑" w:eastAsia="华文细黑"/>
          <w:sz w:val="24"/>
          <w:szCs w:val="30"/>
        </w:rPr>
        <w:t>业务联系人：张文志 电话：18625228536，邮箱：dcyw40999@rt-mart.com</w:t>
      </w:r>
    </w:p>
    <w:p>
      <w:pPr>
        <w:pStyle w:val="31"/>
        <w:numPr>
          <w:ilvl w:val="0"/>
          <w:numId w:val="14"/>
        </w:numPr>
        <w:rPr>
          <w:rFonts w:hint="eastAsia" w:ascii="华文细黑" w:hAnsi="华文细黑" w:eastAsia="华文细黑"/>
          <w:sz w:val="24"/>
          <w:szCs w:val="30"/>
        </w:rPr>
      </w:pPr>
      <w:r>
        <w:rPr>
          <w:rFonts w:hint="eastAsia" w:ascii="华文细黑" w:hAnsi="华文细黑" w:eastAsia="华文细黑"/>
          <w:sz w:val="24"/>
          <w:szCs w:val="30"/>
        </w:rPr>
        <w:t>标书接收人：龚洁（收），电话：18372710060 固定电话：0715-5907288</w:t>
      </w:r>
    </w:p>
    <w:p>
      <w:pPr>
        <w:pStyle w:val="31"/>
        <w:numPr>
          <w:ilvl w:val="0"/>
          <w:numId w:val="12"/>
        </w:numPr>
        <w:rPr>
          <w:rFonts w:hint="eastAsia" w:ascii="华文细黑" w:hAnsi="华文细黑" w:eastAsia="华文细黑"/>
          <w:sz w:val="24"/>
          <w:szCs w:val="30"/>
        </w:rPr>
      </w:pPr>
      <w:r>
        <w:rPr>
          <w:rFonts w:hint="eastAsia" w:ascii="微软雅黑" w:hAnsi="微软雅黑" w:eastAsia="微软雅黑"/>
          <w:szCs w:val="30"/>
        </w:rPr>
        <w:t>邮寄地址：湖北省咸宁市赤壁市赤壁高速出口与S214省道交汇处</w:t>
      </w:r>
      <w:r>
        <w:rPr>
          <w:rFonts w:hint="eastAsia" w:ascii="华文细黑" w:hAnsi="华文细黑" w:eastAsia="华文细黑"/>
          <w:sz w:val="24"/>
          <w:szCs w:val="30"/>
        </w:rPr>
        <w:t xml:space="preserve"> </w:t>
      </w:r>
      <w:r>
        <w:rPr>
          <w:rFonts w:hint="eastAsia" w:ascii="微软雅黑" w:hAnsi="微软雅黑" w:eastAsia="微软雅黑"/>
          <w:szCs w:val="30"/>
        </w:rPr>
        <w:t>赤壁大润发仓储有限公司</w:t>
      </w:r>
      <w:r>
        <w:rPr>
          <w:rFonts w:ascii="微软雅黑" w:hAnsi="微软雅黑" w:eastAsia="微软雅黑"/>
          <w:szCs w:val="30"/>
        </w:rPr>
        <w:tab/>
      </w:r>
      <w:r>
        <w:rPr>
          <w:rFonts w:ascii="微软雅黑" w:hAnsi="微软雅黑" w:eastAsia="微软雅黑"/>
          <w:szCs w:val="30"/>
        </w:rPr>
        <w:tab/>
      </w:r>
      <w:r>
        <w:rPr>
          <w:rFonts w:hint="eastAsia" w:ascii="华文细黑" w:hAnsi="华文细黑" w:eastAsia="华文细黑"/>
          <w:sz w:val="24"/>
          <w:szCs w:val="30"/>
        </w:rPr>
        <w:t>437300。</w:t>
      </w:r>
    </w:p>
    <w:p>
      <w:pPr>
        <w:rPr>
          <w:rFonts w:hint="eastAsia"/>
          <w:b/>
          <w:bCs/>
        </w:rPr>
      </w:pPr>
      <w:r>
        <w:rPr>
          <w:rFonts w:hint="eastAsia"/>
          <w:b/>
          <w:bCs/>
        </w:rPr>
        <w:t>八：封印模板（请参照图示）：</w:t>
      </w:r>
    </w:p>
    <w:p>
      <w:pPr>
        <w:rPr>
          <w:rFonts w:hint="eastAsia"/>
          <w:b/>
          <w:bCs/>
        </w:rPr>
      </w:pPr>
      <w:r>
        <w:rPr>
          <w:rFonts w:hint="eastAsia" w:ascii="宋体" w:hAnsi="宋体" w:eastAsia="宋体" w:cs="宋体"/>
        </w:rPr>
        <w:drawing>
          <wp:anchor distT="0" distB="0" distL="114300" distR="114300" simplePos="0" relativeHeight="251660288" behindDoc="0" locked="0" layoutInCell="1" allowOverlap="1">
            <wp:simplePos x="0" y="0"/>
            <wp:positionH relativeFrom="column">
              <wp:posOffset>2580640</wp:posOffset>
            </wp:positionH>
            <wp:positionV relativeFrom="paragraph">
              <wp:posOffset>86360</wp:posOffset>
            </wp:positionV>
            <wp:extent cx="2484755" cy="2780030"/>
            <wp:effectExtent l="0" t="0" r="10795" b="1270"/>
            <wp:wrapSquare wrapText="bothSides"/>
            <wp:docPr id="2" name="图片 3" descr="1647392725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647392725913"/>
                    <pic:cNvPicPr>
                      <a:picLocks noChangeAspect="1"/>
                    </pic:cNvPicPr>
                  </pic:nvPicPr>
                  <pic:blipFill>
                    <a:blip r:embed="rId4"/>
                    <a:stretch>
                      <a:fillRect/>
                    </a:stretch>
                  </pic:blipFill>
                  <pic:spPr>
                    <a:xfrm>
                      <a:off x="0" y="0"/>
                      <a:ext cx="2484755" cy="2780030"/>
                    </a:xfrm>
                    <a:prstGeom prst="rect">
                      <a:avLst/>
                    </a:prstGeom>
                    <a:noFill/>
                    <a:ln>
                      <a:noFill/>
                    </a:ln>
                  </pic:spPr>
                </pic:pic>
              </a:graphicData>
            </a:graphic>
          </wp:anchor>
        </w:drawing>
      </w:r>
      <w:r>
        <w:rPr>
          <w:rFonts w:hint="eastAsia" w:ascii="宋体" w:hAnsi="宋体" w:eastAsia="宋体" w:cs="宋体"/>
        </w:rPr>
        <w:drawing>
          <wp:anchor distT="0" distB="0" distL="114300" distR="114300" simplePos="0" relativeHeight="251658240" behindDoc="0" locked="0" layoutInCell="1" allowOverlap="1">
            <wp:simplePos x="0" y="0"/>
            <wp:positionH relativeFrom="column">
              <wp:posOffset>-259080</wp:posOffset>
            </wp:positionH>
            <wp:positionV relativeFrom="paragraph">
              <wp:posOffset>95885</wp:posOffset>
            </wp:positionV>
            <wp:extent cx="2426970" cy="2780030"/>
            <wp:effectExtent l="0" t="0" r="11430" b="1270"/>
            <wp:wrapSquare wrapText="bothSides"/>
            <wp:docPr id="1" name="图片 2" descr="1647392725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1647392725906"/>
                    <pic:cNvPicPr>
                      <a:picLocks noChangeAspect="1"/>
                    </pic:cNvPicPr>
                  </pic:nvPicPr>
                  <pic:blipFill>
                    <a:blip r:embed="rId5"/>
                    <a:stretch>
                      <a:fillRect/>
                    </a:stretch>
                  </pic:blipFill>
                  <pic:spPr>
                    <a:xfrm>
                      <a:off x="0" y="0"/>
                      <a:ext cx="2426970" cy="2780030"/>
                    </a:xfrm>
                    <a:prstGeom prst="rect">
                      <a:avLst/>
                    </a:prstGeom>
                    <a:noFill/>
                    <a:ln>
                      <a:noFill/>
                    </a:ln>
                  </pic:spPr>
                </pic:pic>
              </a:graphicData>
            </a:graphic>
          </wp:anchor>
        </w:drawing>
      </w:r>
    </w:p>
    <w:p>
      <w:pPr>
        <w:rPr>
          <w:rFonts w:hint="default" w:eastAsiaTheme="minorEastAsia"/>
          <w:b/>
          <w:bCs/>
          <w:lang w:val="en-US" w:eastAsia="zh-CN"/>
        </w:rPr>
      </w:pPr>
      <w:r>
        <w:rPr>
          <w:b/>
          <w:bCs/>
        </w:rPr>
        <w:t>赤壁大润发仓储有限公</w:t>
      </w:r>
      <w:r>
        <w:rPr>
          <w:rFonts w:hint="eastAsia"/>
          <w:b/>
          <w:bCs/>
        </w:rPr>
        <w:t>司</w:t>
      </w:r>
      <w:r>
        <w:rPr>
          <w:rFonts w:hint="eastAsia"/>
          <w:b/>
          <w:bCs/>
          <w:lang w:val="en-US" w:eastAsia="zh-CN"/>
        </w:rPr>
        <w:t>成都分公司</w:t>
      </w:r>
    </w:p>
    <w:p>
      <w:pPr>
        <w:rPr>
          <w:rFonts w:hint="eastAsia"/>
        </w:rPr>
      </w:pPr>
      <w:r>
        <w:rPr>
          <w:b/>
          <w:bCs/>
        </w:rPr>
        <w:t>2025年</w:t>
      </w:r>
      <w:r>
        <w:rPr>
          <w:rFonts w:hint="eastAsia"/>
          <w:b/>
          <w:bCs/>
        </w:rPr>
        <w:t>3</w:t>
      </w:r>
      <w:r>
        <w:rPr>
          <w:b/>
          <w:bCs/>
        </w:rPr>
        <w:t>月</w:t>
      </w:r>
      <w:r>
        <w:rPr>
          <w:rFonts w:hint="eastAsia"/>
          <w:b/>
          <w:bCs/>
        </w:rPr>
        <w:t>5</w:t>
      </w:r>
      <w:r>
        <w:rPr>
          <w:b/>
          <w:bCs/>
        </w:rPr>
        <w:t>日</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PMingLiU">
    <w:altName w:val="SimSun-ExtB"/>
    <w:panose1 w:val="02010601000101010101"/>
    <w:charset w:val="00"/>
    <w:family w:val="auto"/>
    <w:pitch w:val="default"/>
    <w:sig w:usb0="00000000" w:usb1="00000000" w:usb2="00000000" w:usb3="00000000" w:csb0="00040001" w:csb1="00000000"/>
  </w:font>
  <w:font w:name="华文细黑">
    <w:altName w:val="微软雅黑"/>
    <w:panose1 w:val="02010600040101010101"/>
    <w:charset w:val="86"/>
    <w:family w:val="auto"/>
    <w:pitch w:val="default"/>
    <w:sig w:usb0="00000000" w:usb1="00000000" w:usb2="00000010" w:usb3="00000000" w:csb0="0004009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1613"/>
    <w:multiLevelType w:val="multilevel"/>
    <w:tmpl w:val="02371613"/>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0BAA2C2F"/>
    <w:multiLevelType w:val="multilevel"/>
    <w:tmpl w:val="0BAA2C2F"/>
    <w:lvl w:ilvl="0" w:tentative="0">
      <w:start w:val="1"/>
      <w:numFmt w:val="decimal"/>
      <w:lvlText w:val="%1)"/>
      <w:lvlJc w:val="left"/>
      <w:pPr>
        <w:tabs>
          <w:tab w:val="left" w:pos="780"/>
        </w:tabs>
        <w:ind w:left="780" w:hanging="360"/>
      </w:pPr>
    </w:lvl>
    <w:lvl w:ilvl="1" w:tentative="0">
      <w:start w:val="1"/>
      <w:numFmt w:val="decimal"/>
      <w:lvlText w:val="%2)"/>
      <w:lvlJc w:val="left"/>
      <w:pPr>
        <w:ind w:left="1580" w:hanging="440"/>
      </w:pPr>
    </w:lvl>
    <w:lvl w:ilvl="2" w:tentative="0">
      <w:start w:val="1"/>
      <w:numFmt w:val="decimal"/>
      <w:lvlText w:val="%3."/>
      <w:lvlJc w:val="left"/>
      <w:pPr>
        <w:tabs>
          <w:tab w:val="left" w:pos="2220"/>
        </w:tabs>
        <w:ind w:left="2220" w:hanging="360"/>
      </w:pPr>
    </w:lvl>
    <w:lvl w:ilvl="3" w:tentative="0">
      <w:start w:val="1"/>
      <w:numFmt w:val="decimal"/>
      <w:lvlText w:val="%4."/>
      <w:lvlJc w:val="left"/>
      <w:pPr>
        <w:tabs>
          <w:tab w:val="left" w:pos="2940"/>
        </w:tabs>
        <w:ind w:left="2940" w:hanging="360"/>
      </w:pPr>
    </w:lvl>
    <w:lvl w:ilvl="4" w:tentative="0">
      <w:start w:val="1"/>
      <w:numFmt w:val="decimal"/>
      <w:lvlText w:val="%5."/>
      <w:lvlJc w:val="left"/>
      <w:pPr>
        <w:tabs>
          <w:tab w:val="left" w:pos="3660"/>
        </w:tabs>
        <w:ind w:left="3660" w:hanging="360"/>
      </w:pPr>
    </w:lvl>
    <w:lvl w:ilvl="5" w:tentative="0">
      <w:start w:val="1"/>
      <w:numFmt w:val="decimal"/>
      <w:lvlText w:val="%6."/>
      <w:lvlJc w:val="left"/>
      <w:pPr>
        <w:tabs>
          <w:tab w:val="left" w:pos="4380"/>
        </w:tabs>
        <w:ind w:left="4380" w:hanging="360"/>
      </w:pPr>
    </w:lvl>
    <w:lvl w:ilvl="6" w:tentative="0">
      <w:start w:val="1"/>
      <w:numFmt w:val="decimal"/>
      <w:lvlText w:val="%7."/>
      <w:lvlJc w:val="left"/>
      <w:pPr>
        <w:tabs>
          <w:tab w:val="left" w:pos="5100"/>
        </w:tabs>
        <w:ind w:left="5100" w:hanging="360"/>
      </w:pPr>
    </w:lvl>
    <w:lvl w:ilvl="7" w:tentative="0">
      <w:start w:val="1"/>
      <w:numFmt w:val="decimal"/>
      <w:lvlText w:val="%8."/>
      <w:lvlJc w:val="left"/>
      <w:pPr>
        <w:tabs>
          <w:tab w:val="left" w:pos="5820"/>
        </w:tabs>
        <w:ind w:left="5820" w:hanging="360"/>
      </w:pPr>
    </w:lvl>
    <w:lvl w:ilvl="8" w:tentative="0">
      <w:start w:val="1"/>
      <w:numFmt w:val="decimal"/>
      <w:lvlText w:val="%9."/>
      <w:lvlJc w:val="left"/>
      <w:pPr>
        <w:tabs>
          <w:tab w:val="left" w:pos="6540"/>
        </w:tabs>
        <w:ind w:left="6540" w:hanging="360"/>
      </w:pPr>
    </w:lvl>
  </w:abstractNum>
  <w:abstractNum w:abstractNumId="2">
    <w:nsid w:val="0E7F48B0"/>
    <w:multiLevelType w:val="multilevel"/>
    <w:tmpl w:val="0E7F48B0"/>
    <w:lvl w:ilvl="0" w:tentative="0">
      <w:start w:val="1"/>
      <w:numFmt w:val="decimal"/>
      <w:lvlText w:val="%1)"/>
      <w:lvlJc w:val="left"/>
      <w:pPr>
        <w:tabs>
          <w:tab w:val="left" w:pos="780"/>
        </w:tabs>
        <w:ind w:left="780" w:hanging="360"/>
      </w:pPr>
    </w:lvl>
    <w:lvl w:ilvl="1" w:tentative="0">
      <w:start w:val="1"/>
      <w:numFmt w:val="decimal"/>
      <w:lvlText w:val="%2)"/>
      <w:lvlJc w:val="left"/>
      <w:pPr>
        <w:ind w:left="1580" w:hanging="440"/>
      </w:pPr>
    </w:lvl>
    <w:lvl w:ilvl="2" w:tentative="0">
      <w:start w:val="1"/>
      <w:numFmt w:val="decimal"/>
      <w:lvlText w:val="%3."/>
      <w:lvlJc w:val="left"/>
      <w:pPr>
        <w:tabs>
          <w:tab w:val="left" w:pos="2220"/>
        </w:tabs>
        <w:ind w:left="2220" w:hanging="360"/>
      </w:pPr>
    </w:lvl>
    <w:lvl w:ilvl="3" w:tentative="0">
      <w:start w:val="1"/>
      <w:numFmt w:val="decimal"/>
      <w:lvlText w:val="%4."/>
      <w:lvlJc w:val="left"/>
      <w:pPr>
        <w:tabs>
          <w:tab w:val="left" w:pos="2940"/>
        </w:tabs>
        <w:ind w:left="2940" w:hanging="360"/>
      </w:pPr>
    </w:lvl>
    <w:lvl w:ilvl="4" w:tentative="0">
      <w:start w:val="1"/>
      <w:numFmt w:val="decimal"/>
      <w:lvlText w:val="%5."/>
      <w:lvlJc w:val="left"/>
      <w:pPr>
        <w:tabs>
          <w:tab w:val="left" w:pos="3660"/>
        </w:tabs>
        <w:ind w:left="3660" w:hanging="360"/>
      </w:pPr>
    </w:lvl>
    <w:lvl w:ilvl="5" w:tentative="0">
      <w:start w:val="1"/>
      <w:numFmt w:val="decimal"/>
      <w:lvlText w:val="%6."/>
      <w:lvlJc w:val="left"/>
      <w:pPr>
        <w:tabs>
          <w:tab w:val="left" w:pos="4380"/>
        </w:tabs>
        <w:ind w:left="4380" w:hanging="360"/>
      </w:pPr>
    </w:lvl>
    <w:lvl w:ilvl="6" w:tentative="0">
      <w:start w:val="1"/>
      <w:numFmt w:val="decimal"/>
      <w:lvlText w:val="%7."/>
      <w:lvlJc w:val="left"/>
      <w:pPr>
        <w:tabs>
          <w:tab w:val="left" w:pos="5100"/>
        </w:tabs>
        <w:ind w:left="5100" w:hanging="360"/>
      </w:pPr>
    </w:lvl>
    <w:lvl w:ilvl="7" w:tentative="0">
      <w:start w:val="1"/>
      <w:numFmt w:val="decimal"/>
      <w:lvlText w:val="%8."/>
      <w:lvlJc w:val="left"/>
      <w:pPr>
        <w:tabs>
          <w:tab w:val="left" w:pos="5820"/>
        </w:tabs>
        <w:ind w:left="5820" w:hanging="360"/>
      </w:pPr>
    </w:lvl>
    <w:lvl w:ilvl="8" w:tentative="0">
      <w:start w:val="1"/>
      <w:numFmt w:val="decimal"/>
      <w:lvlText w:val="%9."/>
      <w:lvlJc w:val="left"/>
      <w:pPr>
        <w:tabs>
          <w:tab w:val="left" w:pos="6540"/>
        </w:tabs>
        <w:ind w:left="6540" w:hanging="360"/>
      </w:pPr>
    </w:lvl>
  </w:abstractNum>
  <w:abstractNum w:abstractNumId="3">
    <w:nsid w:val="26454F16"/>
    <w:multiLevelType w:val="multilevel"/>
    <w:tmpl w:val="26454F16"/>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2E6A64DC"/>
    <w:multiLevelType w:val="multilevel"/>
    <w:tmpl w:val="2E6A64DC"/>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327862EC"/>
    <w:multiLevelType w:val="multilevel"/>
    <w:tmpl w:val="327862EC"/>
    <w:lvl w:ilvl="0" w:tentative="0">
      <w:start w:val="1"/>
      <w:numFmt w:val="decimal"/>
      <w:lvlText w:val="%1)"/>
      <w:lvlJc w:val="left"/>
      <w:pPr>
        <w:tabs>
          <w:tab w:val="left" w:pos="780"/>
        </w:tabs>
        <w:ind w:left="780" w:hanging="360"/>
      </w:pPr>
    </w:lvl>
    <w:lvl w:ilvl="1" w:tentative="0">
      <w:start w:val="1"/>
      <w:numFmt w:val="decimal"/>
      <w:lvlText w:val="%2)"/>
      <w:lvlJc w:val="left"/>
      <w:pPr>
        <w:ind w:left="1580" w:hanging="440"/>
      </w:pPr>
    </w:lvl>
    <w:lvl w:ilvl="2" w:tentative="0">
      <w:start w:val="1"/>
      <w:numFmt w:val="decimal"/>
      <w:lvlText w:val="%3."/>
      <w:lvlJc w:val="left"/>
      <w:pPr>
        <w:tabs>
          <w:tab w:val="left" w:pos="2220"/>
        </w:tabs>
        <w:ind w:left="2220" w:hanging="360"/>
      </w:pPr>
    </w:lvl>
    <w:lvl w:ilvl="3" w:tentative="0">
      <w:start w:val="1"/>
      <w:numFmt w:val="decimal"/>
      <w:lvlText w:val="%4."/>
      <w:lvlJc w:val="left"/>
      <w:pPr>
        <w:tabs>
          <w:tab w:val="left" w:pos="2940"/>
        </w:tabs>
        <w:ind w:left="2940" w:hanging="360"/>
      </w:pPr>
    </w:lvl>
    <w:lvl w:ilvl="4" w:tentative="0">
      <w:start w:val="1"/>
      <w:numFmt w:val="decimal"/>
      <w:lvlText w:val="%5."/>
      <w:lvlJc w:val="left"/>
      <w:pPr>
        <w:tabs>
          <w:tab w:val="left" w:pos="3660"/>
        </w:tabs>
        <w:ind w:left="3660" w:hanging="360"/>
      </w:pPr>
    </w:lvl>
    <w:lvl w:ilvl="5" w:tentative="0">
      <w:start w:val="1"/>
      <w:numFmt w:val="decimal"/>
      <w:lvlText w:val="%6."/>
      <w:lvlJc w:val="left"/>
      <w:pPr>
        <w:tabs>
          <w:tab w:val="left" w:pos="4380"/>
        </w:tabs>
        <w:ind w:left="4380" w:hanging="360"/>
      </w:pPr>
    </w:lvl>
    <w:lvl w:ilvl="6" w:tentative="0">
      <w:start w:val="1"/>
      <w:numFmt w:val="decimal"/>
      <w:lvlText w:val="%7."/>
      <w:lvlJc w:val="left"/>
      <w:pPr>
        <w:tabs>
          <w:tab w:val="left" w:pos="5100"/>
        </w:tabs>
        <w:ind w:left="5100" w:hanging="360"/>
      </w:pPr>
    </w:lvl>
    <w:lvl w:ilvl="7" w:tentative="0">
      <w:start w:val="1"/>
      <w:numFmt w:val="decimal"/>
      <w:lvlText w:val="%8."/>
      <w:lvlJc w:val="left"/>
      <w:pPr>
        <w:tabs>
          <w:tab w:val="left" w:pos="5820"/>
        </w:tabs>
        <w:ind w:left="5820" w:hanging="360"/>
      </w:pPr>
    </w:lvl>
    <w:lvl w:ilvl="8" w:tentative="0">
      <w:start w:val="1"/>
      <w:numFmt w:val="decimal"/>
      <w:lvlText w:val="%9."/>
      <w:lvlJc w:val="left"/>
      <w:pPr>
        <w:tabs>
          <w:tab w:val="left" w:pos="6540"/>
        </w:tabs>
        <w:ind w:left="6540" w:hanging="360"/>
      </w:pPr>
    </w:lvl>
  </w:abstractNum>
  <w:abstractNum w:abstractNumId="6">
    <w:nsid w:val="36146106"/>
    <w:multiLevelType w:val="multilevel"/>
    <w:tmpl w:val="36146106"/>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3B0568E7"/>
    <w:multiLevelType w:val="multilevel"/>
    <w:tmpl w:val="3B0568E7"/>
    <w:lvl w:ilvl="0" w:tentative="0">
      <w:start w:val="1"/>
      <w:numFmt w:val="decimal"/>
      <w:lvlText w:val="%1)"/>
      <w:lvlJc w:val="left"/>
      <w:pPr>
        <w:tabs>
          <w:tab w:val="left" w:pos="780"/>
        </w:tabs>
        <w:ind w:left="780" w:hanging="360"/>
      </w:pPr>
    </w:lvl>
    <w:lvl w:ilvl="1" w:tentative="0">
      <w:start w:val="1"/>
      <w:numFmt w:val="decimal"/>
      <w:lvlText w:val="%2)"/>
      <w:lvlJc w:val="left"/>
      <w:pPr>
        <w:ind w:left="1580" w:hanging="440"/>
      </w:pPr>
    </w:lvl>
    <w:lvl w:ilvl="2" w:tentative="0">
      <w:start w:val="1"/>
      <w:numFmt w:val="decimal"/>
      <w:lvlText w:val="%3."/>
      <w:lvlJc w:val="left"/>
      <w:pPr>
        <w:tabs>
          <w:tab w:val="left" w:pos="2220"/>
        </w:tabs>
        <w:ind w:left="2220" w:hanging="360"/>
      </w:pPr>
    </w:lvl>
    <w:lvl w:ilvl="3" w:tentative="0">
      <w:start w:val="1"/>
      <w:numFmt w:val="decimal"/>
      <w:lvlText w:val="%4."/>
      <w:lvlJc w:val="left"/>
      <w:pPr>
        <w:tabs>
          <w:tab w:val="left" w:pos="2940"/>
        </w:tabs>
        <w:ind w:left="2940" w:hanging="360"/>
      </w:pPr>
    </w:lvl>
    <w:lvl w:ilvl="4" w:tentative="0">
      <w:start w:val="1"/>
      <w:numFmt w:val="decimal"/>
      <w:lvlText w:val="%5."/>
      <w:lvlJc w:val="left"/>
      <w:pPr>
        <w:tabs>
          <w:tab w:val="left" w:pos="3660"/>
        </w:tabs>
        <w:ind w:left="3660" w:hanging="360"/>
      </w:pPr>
    </w:lvl>
    <w:lvl w:ilvl="5" w:tentative="0">
      <w:start w:val="1"/>
      <w:numFmt w:val="decimal"/>
      <w:lvlText w:val="%6."/>
      <w:lvlJc w:val="left"/>
      <w:pPr>
        <w:tabs>
          <w:tab w:val="left" w:pos="4380"/>
        </w:tabs>
        <w:ind w:left="4380" w:hanging="360"/>
      </w:pPr>
    </w:lvl>
    <w:lvl w:ilvl="6" w:tentative="0">
      <w:start w:val="1"/>
      <w:numFmt w:val="decimal"/>
      <w:lvlText w:val="%7."/>
      <w:lvlJc w:val="left"/>
      <w:pPr>
        <w:tabs>
          <w:tab w:val="left" w:pos="5100"/>
        </w:tabs>
        <w:ind w:left="5100" w:hanging="360"/>
      </w:pPr>
    </w:lvl>
    <w:lvl w:ilvl="7" w:tentative="0">
      <w:start w:val="1"/>
      <w:numFmt w:val="decimal"/>
      <w:lvlText w:val="%8."/>
      <w:lvlJc w:val="left"/>
      <w:pPr>
        <w:tabs>
          <w:tab w:val="left" w:pos="5820"/>
        </w:tabs>
        <w:ind w:left="5820" w:hanging="360"/>
      </w:pPr>
    </w:lvl>
    <w:lvl w:ilvl="8" w:tentative="0">
      <w:start w:val="1"/>
      <w:numFmt w:val="decimal"/>
      <w:lvlText w:val="%9."/>
      <w:lvlJc w:val="left"/>
      <w:pPr>
        <w:tabs>
          <w:tab w:val="left" w:pos="6540"/>
        </w:tabs>
        <w:ind w:left="6540" w:hanging="360"/>
      </w:pPr>
    </w:lvl>
  </w:abstractNum>
  <w:abstractNum w:abstractNumId="8">
    <w:nsid w:val="57F801EC"/>
    <w:multiLevelType w:val="multilevel"/>
    <w:tmpl w:val="57F801EC"/>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5A912575"/>
    <w:multiLevelType w:val="multilevel"/>
    <w:tmpl w:val="5A912575"/>
    <w:lvl w:ilvl="0" w:tentative="0">
      <w:start w:val="1"/>
      <w:numFmt w:val="decimal"/>
      <w:lvlText w:val="%1)"/>
      <w:lvlJc w:val="left"/>
      <w:pPr>
        <w:tabs>
          <w:tab w:val="left" w:pos="780"/>
        </w:tabs>
        <w:ind w:left="780" w:hanging="360"/>
      </w:pPr>
    </w:lvl>
    <w:lvl w:ilvl="1" w:tentative="0">
      <w:start w:val="1"/>
      <w:numFmt w:val="decimal"/>
      <w:lvlText w:val="%2)"/>
      <w:lvlJc w:val="left"/>
      <w:pPr>
        <w:ind w:left="1580" w:hanging="440"/>
      </w:pPr>
    </w:lvl>
    <w:lvl w:ilvl="2" w:tentative="0">
      <w:start w:val="1"/>
      <w:numFmt w:val="decimal"/>
      <w:lvlText w:val="%3."/>
      <w:lvlJc w:val="left"/>
      <w:pPr>
        <w:tabs>
          <w:tab w:val="left" w:pos="2220"/>
        </w:tabs>
        <w:ind w:left="2220" w:hanging="360"/>
      </w:pPr>
    </w:lvl>
    <w:lvl w:ilvl="3" w:tentative="0">
      <w:start w:val="1"/>
      <w:numFmt w:val="decimal"/>
      <w:lvlText w:val="%4."/>
      <w:lvlJc w:val="left"/>
      <w:pPr>
        <w:tabs>
          <w:tab w:val="left" w:pos="2940"/>
        </w:tabs>
        <w:ind w:left="2940" w:hanging="360"/>
      </w:pPr>
    </w:lvl>
    <w:lvl w:ilvl="4" w:tentative="0">
      <w:start w:val="1"/>
      <w:numFmt w:val="decimal"/>
      <w:lvlText w:val="%5."/>
      <w:lvlJc w:val="left"/>
      <w:pPr>
        <w:tabs>
          <w:tab w:val="left" w:pos="3660"/>
        </w:tabs>
        <w:ind w:left="3660" w:hanging="360"/>
      </w:pPr>
    </w:lvl>
    <w:lvl w:ilvl="5" w:tentative="0">
      <w:start w:val="1"/>
      <w:numFmt w:val="decimal"/>
      <w:lvlText w:val="%6."/>
      <w:lvlJc w:val="left"/>
      <w:pPr>
        <w:tabs>
          <w:tab w:val="left" w:pos="4380"/>
        </w:tabs>
        <w:ind w:left="4380" w:hanging="360"/>
      </w:pPr>
    </w:lvl>
    <w:lvl w:ilvl="6" w:tentative="0">
      <w:start w:val="1"/>
      <w:numFmt w:val="decimal"/>
      <w:lvlText w:val="%7."/>
      <w:lvlJc w:val="left"/>
      <w:pPr>
        <w:tabs>
          <w:tab w:val="left" w:pos="5100"/>
        </w:tabs>
        <w:ind w:left="5100" w:hanging="360"/>
      </w:pPr>
    </w:lvl>
    <w:lvl w:ilvl="7" w:tentative="0">
      <w:start w:val="1"/>
      <w:numFmt w:val="decimal"/>
      <w:lvlText w:val="%8."/>
      <w:lvlJc w:val="left"/>
      <w:pPr>
        <w:tabs>
          <w:tab w:val="left" w:pos="5820"/>
        </w:tabs>
        <w:ind w:left="5820" w:hanging="360"/>
      </w:pPr>
    </w:lvl>
    <w:lvl w:ilvl="8" w:tentative="0">
      <w:start w:val="1"/>
      <w:numFmt w:val="decimal"/>
      <w:lvlText w:val="%9."/>
      <w:lvlJc w:val="left"/>
      <w:pPr>
        <w:tabs>
          <w:tab w:val="left" w:pos="6540"/>
        </w:tabs>
        <w:ind w:left="6540" w:hanging="360"/>
      </w:pPr>
    </w:lvl>
  </w:abstractNum>
  <w:abstractNum w:abstractNumId="10">
    <w:nsid w:val="5A913D77"/>
    <w:multiLevelType w:val="multilevel"/>
    <w:tmpl w:val="5A913D77"/>
    <w:lvl w:ilvl="0" w:tentative="0">
      <w:start w:val="1"/>
      <w:numFmt w:val="decimal"/>
      <w:lvlText w:val="%1)"/>
      <w:lvlJc w:val="left"/>
      <w:pPr>
        <w:tabs>
          <w:tab w:val="left" w:pos="780"/>
        </w:tabs>
        <w:ind w:left="780" w:hanging="360"/>
      </w:pPr>
    </w:lvl>
    <w:lvl w:ilvl="1" w:tentative="0">
      <w:start w:val="1"/>
      <w:numFmt w:val="decimal"/>
      <w:lvlText w:val="%2)"/>
      <w:lvlJc w:val="left"/>
      <w:pPr>
        <w:ind w:left="1580" w:hanging="440"/>
      </w:pPr>
    </w:lvl>
    <w:lvl w:ilvl="2" w:tentative="0">
      <w:start w:val="1"/>
      <w:numFmt w:val="decimal"/>
      <w:lvlText w:val="%3."/>
      <w:lvlJc w:val="left"/>
      <w:pPr>
        <w:tabs>
          <w:tab w:val="left" w:pos="2220"/>
        </w:tabs>
        <w:ind w:left="2220" w:hanging="360"/>
      </w:pPr>
    </w:lvl>
    <w:lvl w:ilvl="3" w:tentative="0">
      <w:start w:val="1"/>
      <w:numFmt w:val="decimal"/>
      <w:lvlText w:val="%4."/>
      <w:lvlJc w:val="left"/>
      <w:pPr>
        <w:tabs>
          <w:tab w:val="left" w:pos="2940"/>
        </w:tabs>
        <w:ind w:left="2940" w:hanging="360"/>
      </w:pPr>
    </w:lvl>
    <w:lvl w:ilvl="4" w:tentative="0">
      <w:start w:val="1"/>
      <w:numFmt w:val="decimal"/>
      <w:lvlText w:val="%5."/>
      <w:lvlJc w:val="left"/>
      <w:pPr>
        <w:tabs>
          <w:tab w:val="left" w:pos="3660"/>
        </w:tabs>
        <w:ind w:left="3660" w:hanging="360"/>
      </w:pPr>
    </w:lvl>
    <w:lvl w:ilvl="5" w:tentative="0">
      <w:start w:val="1"/>
      <w:numFmt w:val="decimal"/>
      <w:lvlText w:val="%6."/>
      <w:lvlJc w:val="left"/>
      <w:pPr>
        <w:tabs>
          <w:tab w:val="left" w:pos="4380"/>
        </w:tabs>
        <w:ind w:left="4380" w:hanging="360"/>
      </w:pPr>
    </w:lvl>
    <w:lvl w:ilvl="6" w:tentative="0">
      <w:start w:val="1"/>
      <w:numFmt w:val="decimal"/>
      <w:lvlText w:val="%7."/>
      <w:lvlJc w:val="left"/>
      <w:pPr>
        <w:tabs>
          <w:tab w:val="left" w:pos="5100"/>
        </w:tabs>
        <w:ind w:left="5100" w:hanging="360"/>
      </w:pPr>
    </w:lvl>
    <w:lvl w:ilvl="7" w:tentative="0">
      <w:start w:val="1"/>
      <w:numFmt w:val="decimal"/>
      <w:lvlText w:val="%8."/>
      <w:lvlJc w:val="left"/>
      <w:pPr>
        <w:tabs>
          <w:tab w:val="left" w:pos="5820"/>
        </w:tabs>
        <w:ind w:left="5820" w:hanging="360"/>
      </w:pPr>
    </w:lvl>
    <w:lvl w:ilvl="8" w:tentative="0">
      <w:start w:val="1"/>
      <w:numFmt w:val="decimal"/>
      <w:lvlText w:val="%9."/>
      <w:lvlJc w:val="left"/>
      <w:pPr>
        <w:tabs>
          <w:tab w:val="left" w:pos="6540"/>
        </w:tabs>
        <w:ind w:left="6540" w:hanging="360"/>
      </w:pPr>
    </w:lvl>
  </w:abstractNum>
  <w:abstractNum w:abstractNumId="11">
    <w:nsid w:val="5BBE4907"/>
    <w:multiLevelType w:val="multilevel"/>
    <w:tmpl w:val="5BBE4907"/>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67FE3927"/>
    <w:multiLevelType w:val="multilevel"/>
    <w:tmpl w:val="67FE3927"/>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681A6A4F"/>
    <w:multiLevelType w:val="multilevel"/>
    <w:tmpl w:val="681A6A4F"/>
    <w:lvl w:ilvl="0" w:tentative="0">
      <w:start w:val="1"/>
      <w:numFmt w:val="decimal"/>
      <w:lvlText w:val="%1)"/>
      <w:lvlJc w:val="left"/>
      <w:pPr>
        <w:tabs>
          <w:tab w:val="left" w:pos="780"/>
        </w:tabs>
        <w:ind w:left="780" w:hanging="360"/>
      </w:pPr>
    </w:lvl>
    <w:lvl w:ilvl="1" w:tentative="0">
      <w:start w:val="1"/>
      <w:numFmt w:val="decimal"/>
      <w:lvlText w:val="%2)"/>
      <w:lvlJc w:val="left"/>
      <w:pPr>
        <w:ind w:left="1580" w:hanging="440"/>
      </w:pPr>
    </w:lvl>
    <w:lvl w:ilvl="2" w:tentative="0">
      <w:start w:val="1"/>
      <w:numFmt w:val="decimal"/>
      <w:lvlText w:val="%3."/>
      <w:lvlJc w:val="left"/>
      <w:pPr>
        <w:tabs>
          <w:tab w:val="left" w:pos="2220"/>
        </w:tabs>
        <w:ind w:left="2220" w:hanging="360"/>
      </w:pPr>
    </w:lvl>
    <w:lvl w:ilvl="3" w:tentative="0">
      <w:start w:val="1"/>
      <w:numFmt w:val="decimal"/>
      <w:lvlText w:val="%4."/>
      <w:lvlJc w:val="left"/>
      <w:pPr>
        <w:tabs>
          <w:tab w:val="left" w:pos="2940"/>
        </w:tabs>
        <w:ind w:left="2940" w:hanging="360"/>
      </w:pPr>
    </w:lvl>
    <w:lvl w:ilvl="4" w:tentative="0">
      <w:start w:val="1"/>
      <w:numFmt w:val="decimal"/>
      <w:lvlText w:val="%5."/>
      <w:lvlJc w:val="left"/>
      <w:pPr>
        <w:tabs>
          <w:tab w:val="left" w:pos="3660"/>
        </w:tabs>
        <w:ind w:left="3660" w:hanging="360"/>
      </w:pPr>
    </w:lvl>
    <w:lvl w:ilvl="5" w:tentative="0">
      <w:start w:val="1"/>
      <w:numFmt w:val="decimal"/>
      <w:lvlText w:val="%6."/>
      <w:lvlJc w:val="left"/>
      <w:pPr>
        <w:tabs>
          <w:tab w:val="left" w:pos="4380"/>
        </w:tabs>
        <w:ind w:left="4380" w:hanging="360"/>
      </w:pPr>
    </w:lvl>
    <w:lvl w:ilvl="6" w:tentative="0">
      <w:start w:val="1"/>
      <w:numFmt w:val="decimal"/>
      <w:lvlText w:val="%7."/>
      <w:lvlJc w:val="left"/>
      <w:pPr>
        <w:tabs>
          <w:tab w:val="left" w:pos="5100"/>
        </w:tabs>
        <w:ind w:left="5100" w:hanging="360"/>
      </w:pPr>
    </w:lvl>
    <w:lvl w:ilvl="7" w:tentative="0">
      <w:start w:val="1"/>
      <w:numFmt w:val="decimal"/>
      <w:lvlText w:val="%8."/>
      <w:lvlJc w:val="left"/>
      <w:pPr>
        <w:tabs>
          <w:tab w:val="left" w:pos="5820"/>
        </w:tabs>
        <w:ind w:left="5820" w:hanging="360"/>
      </w:pPr>
    </w:lvl>
    <w:lvl w:ilvl="8" w:tentative="0">
      <w:start w:val="1"/>
      <w:numFmt w:val="decimal"/>
      <w:lvlText w:val="%9."/>
      <w:lvlJc w:val="left"/>
      <w:pPr>
        <w:tabs>
          <w:tab w:val="left" w:pos="6540"/>
        </w:tabs>
        <w:ind w:left="6540" w:hanging="360"/>
      </w:pPr>
    </w:lvl>
  </w:abstractNum>
  <w:num w:numId="1">
    <w:abstractNumId w:val="6"/>
  </w:num>
  <w:num w:numId="2">
    <w:abstractNumId w:val="7"/>
  </w:num>
  <w:num w:numId="3">
    <w:abstractNumId w:val="3"/>
  </w:num>
  <w:num w:numId="4">
    <w:abstractNumId w:val="13"/>
  </w:num>
  <w:num w:numId="5">
    <w:abstractNumId w:val="9"/>
  </w:num>
  <w:num w:numId="6">
    <w:abstractNumId w:val="2"/>
  </w:num>
  <w:num w:numId="7">
    <w:abstractNumId w:val="10"/>
  </w:num>
  <w:num w:numId="8">
    <w:abstractNumId w:val="8"/>
  </w:num>
  <w:num w:numId="9">
    <w:abstractNumId w:val="5"/>
  </w:num>
  <w:num w:numId="10">
    <w:abstractNumId w:val="1"/>
  </w:num>
  <w:num w:numId="11">
    <w:abstractNumId w:val="4"/>
  </w:num>
  <w:num w:numId="12">
    <w:abstractNumId w:val="11"/>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C7A"/>
    <w:rsid w:val="00010609"/>
    <w:rsid w:val="00071E64"/>
    <w:rsid w:val="00146962"/>
    <w:rsid w:val="00190FB2"/>
    <w:rsid w:val="001A2937"/>
    <w:rsid w:val="0029006C"/>
    <w:rsid w:val="00365417"/>
    <w:rsid w:val="00394E06"/>
    <w:rsid w:val="003C5DFC"/>
    <w:rsid w:val="00437C2E"/>
    <w:rsid w:val="00541D10"/>
    <w:rsid w:val="006225F3"/>
    <w:rsid w:val="00636846"/>
    <w:rsid w:val="00724A64"/>
    <w:rsid w:val="007332A2"/>
    <w:rsid w:val="007602FF"/>
    <w:rsid w:val="008A3C7A"/>
    <w:rsid w:val="008A742F"/>
    <w:rsid w:val="00AB42E3"/>
    <w:rsid w:val="00AC452E"/>
    <w:rsid w:val="00B029B2"/>
    <w:rsid w:val="00BA6447"/>
    <w:rsid w:val="00C66BBB"/>
    <w:rsid w:val="00CB014F"/>
    <w:rsid w:val="00E70986"/>
    <w:rsid w:val="00E8143A"/>
    <w:rsid w:val="00F211A3"/>
    <w:rsid w:val="00F40650"/>
    <w:rsid w:val="00FC4CB5"/>
    <w:rsid w:val="1A7101A4"/>
    <w:rsid w:val="1C880116"/>
    <w:rsid w:val="1FA11CCB"/>
    <w:rsid w:val="4CAB2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3"/>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24"/>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11">
    <w:name w:val="footer"/>
    <w:basedOn w:val="1"/>
    <w:link w:val="38"/>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7"/>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8"/>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styleId="17">
    <w:name w:val="Hyperlink"/>
    <w:basedOn w:val="16"/>
    <w:unhideWhenUsed/>
    <w:qFormat/>
    <w:uiPriority w:val="99"/>
    <w:rPr>
      <w:color w:val="467886" w:themeColor="hyperlink"/>
      <w:u w:val="single"/>
      <w14:textFill>
        <w14:solidFill>
          <w14:schemeClr w14:val="hlink"/>
        </w14:solidFill>
      </w14:textFill>
    </w:rPr>
  </w:style>
  <w:style w:type="character" w:customStyle="1" w:styleId="18">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6"/>
    <w:link w:val="5"/>
    <w:semiHidden/>
    <w:qFormat/>
    <w:uiPriority w:val="9"/>
    <w:rPr>
      <w:rFonts w:cstheme="majorBidi"/>
      <w:color w:val="104862" w:themeColor="accent1" w:themeShade="BF"/>
      <w:sz w:val="28"/>
      <w:szCs w:val="28"/>
    </w:rPr>
  </w:style>
  <w:style w:type="character" w:customStyle="1" w:styleId="22">
    <w:name w:val="标题 5 字符"/>
    <w:basedOn w:val="16"/>
    <w:link w:val="6"/>
    <w:semiHidden/>
    <w:qFormat/>
    <w:uiPriority w:val="9"/>
    <w:rPr>
      <w:rFonts w:cstheme="majorBidi"/>
      <w:color w:val="104862" w:themeColor="accent1" w:themeShade="BF"/>
      <w:sz w:val="24"/>
    </w:rPr>
  </w:style>
  <w:style w:type="character" w:customStyle="1" w:styleId="23">
    <w:name w:val="标题 6 字符"/>
    <w:basedOn w:val="16"/>
    <w:link w:val="7"/>
    <w:semiHidden/>
    <w:qFormat/>
    <w:uiPriority w:val="9"/>
    <w:rPr>
      <w:rFonts w:cstheme="majorBidi"/>
      <w:b/>
      <w:bCs/>
      <w:color w:val="104862" w:themeColor="accent1" w:themeShade="BF"/>
    </w:rPr>
  </w:style>
  <w:style w:type="character" w:customStyle="1" w:styleId="24">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6"/>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明显强调1"/>
    <w:basedOn w:val="16"/>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6"/>
    <w:link w:val="33"/>
    <w:qFormat/>
    <w:uiPriority w:val="30"/>
    <w:rPr>
      <w:i/>
      <w:iCs/>
      <w:color w:val="104862" w:themeColor="accent1" w:themeShade="BF"/>
    </w:rPr>
  </w:style>
  <w:style w:type="character" w:customStyle="1" w:styleId="35">
    <w:name w:val="明显参考1"/>
    <w:basedOn w:val="16"/>
    <w:qFormat/>
    <w:uiPriority w:val="32"/>
    <w:rPr>
      <w:b/>
      <w:bCs/>
      <w:smallCaps/>
      <w:color w:val="104862" w:themeColor="accent1" w:themeShade="BF"/>
      <w:spacing w:val="5"/>
    </w:rPr>
  </w:style>
  <w:style w:type="character" w:customStyle="1" w:styleId="36">
    <w:name w:val="未处理的提及1"/>
    <w:basedOn w:val="16"/>
    <w:semiHidden/>
    <w:unhideWhenUsed/>
    <w:qFormat/>
    <w:uiPriority w:val="99"/>
    <w:rPr>
      <w:color w:val="605E5C"/>
      <w:shd w:val="clear" w:color="auto" w:fill="E1DFDD"/>
    </w:rPr>
  </w:style>
  <w:style w:type="character" w:customStyle="1" w:styleId="37">
    <w:name w:val="页眉 字符"/>
    <w:basedOn w:val="16"/>
    <w:link w:val="12"/>
    <w:qFormat/>
    <w:uiPriority w:val="99"/>
    <w:rPr>
      <w:sz w:val="18"/>
      <w:szCs w:val="18"/>
    </w:rPr>
  </w:style>
  <w:style w:type="character" w:customStyle="1" w:styleId="38">
    <w:name w:val="页脚 字符"/>
    <w:basedOn w:val="16"/>
    <w:link w:val="11"/>
    <w:qFormat/>
    <w:uiPriority w:val="99"/>
    <w:rPr>
      <w:sz w:val="18"/>
      <w:szCs w:val="18"/>
    </w:rPr>
  </w:style>
  <w:style w:type="character" w:customStyle="1" w:styleId="39">
    <w:name w:val="font11"/>
    <w:basedOn w:val="16"/>
    <w:qFormat/>
    <w:uiPriority w:val="0"/>
    <w:rPr>
      <w:rFonts w:ascii="PMingLiU" w:hAnsi="PMingLiU" w:eastAsia="PMingLiU" w:cs="PMingLiU"/>
      <w:color w:val="000000"/>
      <w:sz w:val="16"/>
      <w:szCs w:val="16"/>
      <w:u w:val="none"/>
    </w:rPr>
  </w:style>
  <w:style w:type="character" w:customStyle="1" w:styleId="40">
    <w:name w:val="font21"/>
    <w:basedOn w:val="16"/>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406</Words>
  <Characters>2317</Characters>
  <Lines>19</Lines>
  <Paragraphs>5</Paragraphs>
  <TotalTime>9</TotalTime>
  <ScaleCrop>false</ScaleCrop>
  <LinksUpToDate>false</LinksUpToDate>
  <CharactersWithSpaces>2718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2025-03-04T05:54:00Z</dcterms:created>
  <dc:creator>NARYSO BAAK</dc:creator>
  <cp:lastModifiedBy>Administrator</cp:lastModifiedBy>
  <dcterms:modified xsi:type="dcterms:W3CDTF">2025-03-04T07:12:18Z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