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微软雅黑" w:hAnsi="微软雅黑" w:eastAsia="微软雅黑"/>
          <w:b/>
          <w:sz w:val="52"/>
          <w:szCs w:val="72"/>
        </w:rPr>
      </w:pPr>
    </w:p>
    <w:p>
      <w:pPr>
        <w:rPr>
          <w:rFonts w:ascii="微软雅黑" w:hAnsi="微软雅黑" w:eastAsia="微软雅黑"/>
          <w:b/>
          <w:sz w:val="52"/>
          <w:szCs w:val="72"/>
        </w:rPr>
      </w:pPr>
    </w:p>
    <w:p>
      <w:pPr>
        <w:rPr>
          <w:rFonts w:ascii="微软雅黑" w:hAnsi="微软雅黑" w:eastAsia="微软雅黑"/>
          <w:b/>
          <w:sz w:val="52"/>
          <w:szCs w:val="72"/>
        </w:rPr>
      </w:pPr>
    </w:p>
    <w:p>
      <w:pPr>
        <w:spacing w:line="360" w:lineRule="auto"/>
        <w:jc w:val="center"/>
        <w:rPr>
          <w:rFonts w:ascii="微软雅黑" w:hAnsi="微软雅黑" w:eastAsia="微软雅黑"/>
          <w:b/>
          <w:sz w:val="44"/>
          <w:szCs w:val="44"/>
        </w:rPr>
      </w:pPr>
      <w:r>
        <w:rPr>
          <w:rFonts w:hint="eastAsia" w:ascii="微软雅黑" w:hAnsi="微软雅黑" w:eastAsia="微软雅黑"/>
          <w:b/>
          <w:sz w:val="44"/>
          <w:szCs w:val="44"/>
        </w:rPr>
        <w:t>宁夏伊品生物科技股份有限公司</w:t>
      </w:r>
    </w:p>
    <w:p>
      <w:pPr>
        <w:spacing w:line="360" w:lineRule="auto"/>
        <w:jc w:val="center"/>
        <w:rPr>
          <w:rFonts w:hint="eastAsia" w:ascii="微软雅黑" w:hAnsi="微软雅黑" w:eastAsia="微软雅黑"/>
          <w:b/>
          <w:sz w:val="44"/>
          <w:szCs w:val="44"/>
        </w:rPr>
      </w:pPr>
      <w:r>
        <w:rPr>
          <w:rFonts w:hint="eastAsia" w:ascii="微软雅黑" w:hAnsi="微软雅黑" w:eastAsia="微软雅黑"/>
          <w:b/>
          <w:sz w:val="44"/>
          <w:szCs w:val="44"/>
        </w:rPr>
        <w:t>2023年</w:t>
      </w:r>
      <w:r>
        <w:rPr>
          <w:rFonts w:ascii="微软雅黑" w:hAnsi="微软雅黑" w:eastAsia="微软雅黑"/>
          <w:b/>
          <w:sz w:val="44"/>
          <w:szCs w:val="44"/>
        </w:rPr>
        <w:t>硫酸铵运输招标公告</w:t>
      </w:r>
    </w:p>
    <w:p>
      <w:pPr>
        <w:spacing w:line="360" w:lineRule="auto"/>
        <w:jc w:val="center"/>
        <w:rPr>
          <w:rFonts w:ascii="微软雅黑" w:hAnsi="微软雅黑" w:eastAsia="微软雅黑"/>
          <w:b/>
          <w:sz w:val="44"/>
          <w:szCs w:val="44"/>
        </w:rPr>
      </w:pPr>
      <w:r>
        <w:rPr>
          <w:rFonts w:ascii="微软雅黑" w:hAnsi="微软雅黑" w:eastAsia="微软雅黑"/>
          <w:b/>
          <w:sz w:val="44"/>
          <w:szCs w:val="44"/>
        </w:rPr>
        <w:t>（内蒙基地、黑龙江基地）</w:t>
      </w: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rPr>
          <w:rFonts w:ascii="宋体" w:hAnsi="宋体"/>
          <w:sz w:val="24"/>
        </w:rPr>
      </w:pPr>
    </w:p>
    <w:p>
      <w:pPr>
        <w:jc w:val="center"/>
        <w:rPr>
          <w:rFonts w:ascii="宋体" w:hAnsi="宋体"/>
          <w:sz w:val="24"/>
        </w:rPr>
      </w:pPr>
    </w:p>
    <w:p>
      <w:pPr>
        <w:spacing w:line="360" w:lineRule="auto"/>
        <w:ind w:firstLine="2241" w:firstLineChars="700"/>
        <w:jc w:val="left"/>
        <w:rPr>
          <w:rFonts w:ascii="微软雅黑" w:hAnsi="微软雅黑" w:eastAsia="微软雅黑" w:cs="微软雅黑"/>
          <w:b/>
          <w:sz w:val="32"/>
          <w:szCs w:val="32"/>
        </w:rPr>
      </w:pPr>
      <w:r>
        <w:rPr>
          <w:rFonts w:hint="eastAsia" w:ascii="微软雅黑" w:hAnsi="微软雅黑" w:eastAsia="微软雅黑" w:cs="微软雅黑"/>
          <w:b/>
          <w:sz w:val="32"/>
          <w:szCs w:val="32"/>
        </w:rPr>
        <w:t>部    门：物流中心</w:t>
      </w:r>
    </w:p>
    <w:p>
      <w:pPr>
        <w:spacing w:line="360" w:lineRule="auto"/>
        <w:ind w:firstLine="2241" w:firstLineChars="700"/>
        <w:jc w:val="left"/>
        <w:rPr>
          <w:rFonts w:ascii="微软雅黑" w:hAnsi="微软雅黑" w:eastAsia="微软雅黑" w:cs="微软雅黑"/>
          <w:b/>
          <w:sz w:val="32"/>
          <w:szCs w:val="32"/>
        </w:rPr>
      </w:pPr>
      <w:r>
        <w:rPr>
          <w:rFonts w:hint="eastAsia" w:ascii="微软雅黑" w:hAnsi="微软雅黑" w:eastAsia="微软雅黑" w:cs="微软雅黑"/>
          <w:b/>
          <w:sz w:val="32"/>
          <w:szCs w:val="32"/>
        </w:rPr>
        <w:t>日    期：2023年 1月29日</w:t>
      </w:r>
    </w:p>
    <w:p>
      <w:pPr>
        <w:spacing w:line="360" w:lineRule="auto"/>
        <w:ind w:firstLine="2241" w:firstLineChars="700"/>
        <w:jc w:val="left"/>
        <w:rPr>
          <w:rFonts w:ascii="宋体" w:hAnsi="宋体" w:eastAsia="微软雅黑" w:cs="微软雅黑"/>
          <w:b/>
          <w:sz w:val="32"/>
          <w:szCs w:val="32"/>
        </w:rPr>
      </w:pPr>
      <w:r>
        <w:rPr>
          <w:rFonts w:hint="eastAsia" w:ascii="微软雅黑" w:hAnsi="微软雅黑" w:eastAsia="微软雅黑" w:cs="微软雅黑"/>
          <w:b/>
          <w:sz w:val="32"/>
          <w:szCs w:val="32"/>
        </w:rPr>
        <w:t>文件编号：NXYP-YL-YS-20230129</w:t>
      </w:r>
    </w:p>
    <w:p>
      <w:pPr>
        <w:rPr>
          <w:rFonts w:ascii="微软雅黑" w:hAnsi="微软雅黑" w:eastAsia="微软雅黑"/>
          <w:b/>
          <w:sz w:val="36"/>
          <w:szCs w:val="21"/>
        </w:rPr>
      </w:pPr>
    </w:p>
    <w:p>
      <w:pPr>
        <w:pStyle w:val="3"/>
        <w:jc w:val="center"/>
        <w:rPr>
          <w:rFonts w:ascii="宋体" w:hAnsi="宋体"/>
          <w:b/>
          <w:sz w:val="36"/>
          <w:szCs w:val="36"/>
        </w:rPr>
      </w:pPr>
      <w:r>
        <w:rPr>
          <w:rFonts w:hint="eastAsia" w:ascii="宋体" w:hAnsi="宋体"/>
          <w:b/>
          <w:sz w:val="36"/>
          <w:szCs w:val="36"/>
        </w:rPr>
        <w:t>招 标 邀 请 函</w:t>
      </w:r>
    </w:p>
    <w:p>
      <w:pPr>
        <w:numPr>
          <w:ilvl w:val="0"/>
          <w:numId w:val="1"/>
        </w:numPr>
        <w:spacing w:line="500" w:lineRule="exact"/>
        <w:jc w:val="left"/>
        <w:rPr>
          <w:rFonts w:ascii="宋体" w:hAnsi="宋体"/>
          <w:b/>
          <w:sz w:val="24"/>
        </w:rPr>
      </w:pPr>
      <w:r>
        <w:rPr>
          <w:rFonts w:hint="eastAsia" w:ascii="宋体" w:hAnsi="宋体"/>
          <w:b/>
          <w:sz w:val="24"/>
        </w:rPr>
        <w:t>公司简介</w:t>
      </w:r>
    </w:p>
    <w:p>
      <w:pPr>
        <w:spacing w:line="480" w:lineRule="exact"/>
        <w:ind w:firstLine="480" w:firstLineChars="200"/>
        <w:jc w:val="left"/>
        <w:rPr>
          <w:rFonts w:ascii="宋体" w:hAnsi="宋体"/>
          <w:sz w:val="24"/>
        </w:rPr>
      </w:pPr>
      <w:r>
        <w:rPr>
          <w:rFonts w:hint="eastAsia" w:ascii="宋体" w:hAnsi="宋体"/>
          <w:sz w:val="24"/>
        </w:rPr>
        <w:t>内蒙古伊品生物科技有限公司为宁夏伊品生物科技股份有限公司全资子公司，公司坐落于赤峰市元宝山区资源型城市经济转型开发试验区，公司投资建设赖氨酸项目、苏氨酸项目及味精项目，配套有玉米淀粉厂、热电厂、污水厂、复混肥厂、合成氨厂，并在此基础上逐步进行产业延伸的大型生物化工项目。</w:t>
      </w:r>
    </w:p>
    <w:p>
      <w:pPr>
        <w:spacing w:line="480" w:lineRule="exact"/>
        <w:ind w:firstLine="480" w:firstLineChars="200"/>
        <w:jc w:val="left"/>
        <w:rPr>
          <w:rFonts w:ascii="宋体" w:hAnsi="宋体"/>
          <w:sz w:val="24"/>
        </w:rPr>
      </w:pPr>
      <w:r>
        <w:rPr>
          <w:rFonts w:hint="eastAsia" w:ascii="宋体" w:hAnsi="宋体"/>
          <w:sz w:val="24"/>
        </w:rPr>
        <w:t>黑龙江伊品生物科技有限公司为宁夏伊品生物科技股份有限公司全资子公司，公司坐落于黑龙江省大庆市杜尔伯特蒙古族自治县德力戈尔工业园区，公司投资建设赖氨酸项目、苏氨酸项目，配套有玉米淀粉厂、热电厂、污水厂、复混肥厂、合成氨厂，并在此基础上逐步进行产业延伸的大型生物化工项目。</w:t>
      </w:r>
    </w:p>
    <w:p>
      <w:pPr>
        <w:spacing w:line="480" w:lineRule="exact"/>
        <w:ind w:firstLine="480" w:firstLineChars="200"/>
        <w:jc w:val="left"/>
        <w:rPr>
          <w:rFonts w:ascii="宋体" w:hAnsi="宋体"/>
          <w:b/>
          <w:sz w:val="24"/>
        </w:rPr>
      </w:pPr>
      <w:r>
        <w:rPr>
          <w:rFonts w:hint="eastAsia" w:ascii="宋体" w:hAnsi="宋体"/>
          <w:sz w:val="24"/>
        </w:rPr>
        <w:t>欢迎浏览我司网站：</w:t>
      </w:r>
      <w:r>
        <w:fldChar w:fldCharType="begin"/>
      </w:r>
      <w:r>
        <w:instrText xml:space="preserve"> HYPERLINK "http://www.eppen.com.cn/" </w:instrText>
      </w:r>
      <w:r>
        <w:fldChar w:fldCharType="separate"/>
      </w:r>
      <w:r>
        <w:rPr>
          <w:rFonts w:ascii="宋体" w:hAnsi="宋体"/>
          <w:sz w:val="24"/>
        </w:rPr>
        <w:t>http://www.eppen.com.cn/</w:t>
      </w:r>
      <w:r>
        <w:rPr>
          <w:rFonts w:ascii="宋体" w:hAnsi="宋体"/>
          <w:sz w:val="24"/>
        </w:rPr>
        <w:fldChar w:fldCharType="end"/>
      </w:r>
    </w:p>
    <w:p>
      <w:pPr>
        <w:spacing w:line="480" w:lineRule="exact"/>
        <w:jc w:val="left"/>
        <w:rPr>
          <w:rFonts w:ascii="宋体" w:hAnsi="宋体"/>
          <w:b/>
          <w:sz w:val="24"/>
        </w:rPr>
      </w:pPr>
      <w:r>
        <w:rPr>
          <w:rFonts w:hint="eastAsia" w:ascii="宋体" w:hAnsi="宋体"/>
          <w:b/>
          <w:sz w:val="24"/>
        </w:rPr>
        <w:t>二、业务背景</w:t>
      </w:r>
    </w:p>
    <w:p>
      <w:pPr>
        <w:spacing w:line="480" w:lineRule="exact"/>
        <w:ind w:firstLine="480" w:firstLineChars="200"/>
        <w:rPr>
          <w:rFonts w:ascii="宋体" w:hAnsi="宋体"/>
          <w:color w:val="000000"/>
          <w:sz w:val="24"/>
        </w:rPr>
      </w:pPr>
      <w:r>
        <w:rPr>
          <w:rFonts w:hint="eastAsia" w:ascii="宋体" w:hAnsi="宋体"/>
          <w:color w:val="000000"/>
          <w:sz w:val="24"/>
        </w:rPr>
        <w:t>宁夏伊品生物科技股份有限公司硫酸铵运输业务</w:t>
      </w:r>
      <w:r>
        <w:rPr>
          <w:rFonts w:hint="eastAsia"/>
          <w:color w:val="000000"/>
          <w:sz w:val="24"/>
          <w:shd w:val="clear" w:color="auto" w:fill="FFFFFF"/>
        </w:rPr>
        <w:t>招标工作即将启动，</w:t>
      </w:r>
      <w:r>
        <w:rPr>
          <w:rFonts w:hint="eastAsia" w:ascii="宋体" w:hAnsi="宋体"/>
          <w:color w:val="000000"/>
          <w:sz w:val="24"/>
        </w:rPr>
        <w:t>根据公司关于运输资源整合的有关精神，为了提高运输供应商服务质量，保障物流运输成本及时效性，</w:t>
      </w:r>
      <w:r>
        <w:rPr>
          <w:rFonts w:hint="eastAsia"/>
          <w:color w:val="000000"/>
          <w:sz w:val="24"/>
          <w:shd w:val="clear" w:color="auto" w:fill="FFFFFF"/>
        </w:rPr>
        <w:t>本着“公开、公平、公正、透明”的原则，欢迎经营能力较好、运输资质优、保供和服务能力较强的物流运输企业参加投标。现将有关事项公示如下：</w:t>
      </w:r>
      <w:r>
        <w:rPr>
          <w:rFonts w:hint="eastAsia" w:ascii="宋体" w:hAnsi="宋体"/>
          <w:color w:val="000000"/>
          <w:sz w:val="24"/>
        </w:rPr>
        <w:t xml:space="preserve"> </w:t>
      </w:r>
    </w:p>
    <w:p>
      <w:pPr>
        <w:spacing w:line="500" w:lineRule="exact"/>
        <w:ind w:firstLine="480" w:firstLineChars="200"/>
        <w:rPr>
          <w:rFonts w:ascii="宋体" w:hAnsi="宋体"/>
          <w:color w:val="000000"/>
          <w:sz w:val="24"/>
        </w:rPr>
      </w:pPr>
      <w:r>
        <w:rPr>
          <w:rFonts w:hint="eastAsia" w:ascii="宋体" w:hAnsi="宋体"/>
          <w:color w:val="000000"/>
          <w:sz w:val="24"/>
        </w:rPr>
        <w:t>招标时间：</w:t>
      </w:r>
      <w:r>
        <w:rPr>
          <w:rFonts w:hint="eastAsia" w:ascii="宋体" w:hAnsi="宋体"/>
          <w:b/>
          <w:bCs/>
          <w:color w:val="000000"/>
          <w:sz w:val="24"/>
          <w:u w:val="single"/>
        </w:rPr>
        <w:t>2023年2月9日</w:t>
      </w:r>
    </w:p>
    <w:p>
      <w:pPr>
        <w:spacing w:line="500" w:lineRule="exact"/>
        <w:ind w:firstLine="480" w:firstLineChars="200"/>
        <w:rPr>
          <w:rFonts w:ascii="宋体" w:hAnsi="宋体"/>
          <w:color w:val="000000"/>
          <w:sz w:val="24"/>
        </w:rPr>
      </w:pPr>
      <w:r>
        <w:rPr>
          <w:rFonts w:hint="eastAsia" w:ascii="宋体" w:hAnsi="宋体"/>
          <w:color w:val="000000"/>
          <w:sz w:val="24"/>
        </w:rPr>
        <w:t>招标地点：</w:t>
      </w:r>
      <w:r>
        <w:rPr>
          <w:rFonts w:hint="eastAsia" w:ascii="宋体" w:hAnsi="宋体"/>
          <w:b/>
          <w:color w:val="000000"/>
          <w:sz w:val="24"/>
          <w:u w:val="single"/>
        </w:rPr>
        <w:t>线上</w:t>
      </w:r>
    </w:p>
    <w:p>
      <w:pPr>
        <w:spacing w:line="500" w:lineRule="exact"/>
        <w:jc w:val="left"/>
        <w:rPr>
          <w:rFonts w:ascii="宋体" w:hAnsi="宋体"/>
          <w:b/>
          <w:sz w:val="24"/>
        </w:rPr>
      </w:pPr>
      <w:r>
        <w:rPr>
          <w:rFonts w:hint="eastAsia" w:ascii="宋体" w:hAnsi="宋体"/>
          <w:b/>
          <w:sz w:val="24"/>
        </w:rPr>
        <w:t>三、业务标的：</w:t>
      </w:r>
    </w:p>
    <w:tbl>
      <w:tblPr>
        <w:tblStyle w:val="8"/>
        <w:tblW w:w="5000" w:type="pct"/>
        <w:tblInd w:w="0" w:type="dxa"/>
        <w:tblLayout w:type="autofit"/>
        <w:tblCellMar>
          <w:top w:w="0" w:type="dxa"/>
          <w:left w:w="108" w:type="dxa"/>
          <w:bottom w:w="0" w:type="dxa"/>
          <w:right w:w="108" w:type="dxa"/>
        </w:tblCellMar>
      </w:tblPr>
      <w:tblGrid>
        <w:gridCol w:w="674"/>
        <w:gridCol w:w="3119"/>
        <w:gridCol w:w="1560"/>
        <w:gridCol w:w="1132"/>
        <w:gridCol w:w="989"/>
        <w:gridCol w:w="991"/>
        <w:gridCol w:w="1049"/>
      </w:tblGrid>
      <w:tr>
        <w:tblPrEx>
          <w:tblCellMar>
            <w:top w:w="0" w:type="dxa"/>
            <w:left w:w="108" w:type="dxa"/>
            <w:bottom w:w="0" w:type="dxa"/>
            <w:right w:w="108" w:type="dxa"/>
          </w:tblCellMar>
        </w:tblPrEx>
        <w:trPr>
          <w:trHeight w:val="660" w:hRule="atLeast"/>
        </w:trPr>
        <w:tc>
          <w:tcPr>
            <w:tcW w:w="354" w:type="pct"/>
            <w:tcBorders>
              <w:top w:val="single" w:color="auto" w:sz="4" w:space="0"/>
              <w:left w:val="single" w:color="auto" w:sz="4" w:space="0"/>
              <w:bottom w:val="single" w:color="auto" w:sz="4" w:space="0"/>
              <w:right w:val="single" w:color="auto" w:sz="4" w:space="0"/>
            </w:tcBorders>
            <w:shd w:val="clear" w:color="000000" w:fill="538DD5"/>
            <w:vAlign w:val="center"/>
          </w:tcPr>
          <w:p>
            <w:pPr>
              <w:widowControl/>
              <w:jc w:val="center"/>
              <w:rPr>
                <w:rFonts w:ascii="微软雅黑" w:hAnsi="微软雅黑" w:eastAsia="微软雅黑" w:cs="宋体"/>
                <w:b/>
                <w:bCs/>
                <w:color w:val="000000"/>
                <w:kern w:val="0"/>
                <w:sz w:val="18"/>
                <w:szCs w:val="22"/>
              </w:rPr>
            </w:pPr>
            <w:r>
              <w:rPr>
                <w:rFonts w:hint="eastAsia" w:ascii="微软雅黑" w:hAnsi="微软雅黑" w:eastAsia="微软雅黑" w:cs="宋体"/>
                <w:b/>
                <w:bCs/>
                <w:color w:val="000000"/>
                <w:kern w:val="0"/>
                <w:sz w:val="18"/>
                <w:szCs w:val="22"/>
              </w:rPr>
              <w:t>标的</w:t>
            </w:r>
          </w:p>
        </w:tc>
        <w:tc>
          <w:tcPr>
            <w:tcW w:w="1639" w:type="pct"/>
            <w:tcBorders>
              <w:top w:val="single" w:color="auto" w:sz="4" w:space="0"/>
              <w:left w:val="nil"/>
              <w:bottom w:val="single" w:color="auto" w:sz="4" w:space="0"/>
              <w:right w:val="single" w:color="auto" w:sz="4" w:space="0"/>
            </w:tcBorders>
            <w:shd w:val="clear" w:color="000000" w:fill="538DD5"/>
            <w:vAlign w:val="center"/>
          </w:tcPr>
          <w:p>
            <w:pPr>
              <w:widowControl/>
              <w:jc w:val="center"/>
              <w:rPr>
                <w:rFonts w:ascii="微软雅黑" w:hAnsi="微软雅黑" w:eastAsia="微软雅黑" w:cs="宋体"/>
                <w:b/>
                <w:bCs/>
                <w:color w:val="000000"/>
                <w:kern w:val="0"/>
                <w:sz w:val="18"/>
                <w:szCs w:val="22"/>
              </w:rPr>
            </w:pPr>
            <w:r>
              <w:rPr>
                <w:rFonts w:hint="eastAsia" w:ascii="微软雅黑" w:hAnsi="微软雅黑" w:eastAsia="微软雅黑" w:cs="宋体"/>
                <w:b/>
                <w:bCs/>
                <w:color w:val="000000"/>
                <w:kern w:val="0"/>
                <w:sz w:val="18"/>
                <w:szCs w:val="22"/>
              </w:rPr>
              <w:t>发货地址</w:t>
            </w:r>
          </w:p>
        </w:tc>
        <w:tc>
          <w:tcPr>
            <w:tcW w:w="820" w:type="pct"/>
            <w:tcBorders>
              <w:top w:val="single" w:color="auto" w:sz="4" w:space="0"/>
              <w:left w:val="nil"/>
              <w:bottom w:val="single" w:color="auto" w:sz="4" w:space="0"/>
              <w:right w:val="single" w:color="auto" w:sz="4" w:space="0"/>
            </w:tcBorders>
            <w:shd w:val="clear" w:color="000000" w:fill="538DD5"/>
            <w:noWrap/>
            <w:vAlign w:val="center"/>
          </w:tcPr>
          <w:p>
            <w:pPr>
              <w:widowControl/>
              <w:jc w:val="center"/>
              <w:rPr>
                <w:rFonts w:ascii="微软雅黑" w:hAnsi="微软雅黑" w:eastAsia="微软雅黑" w:cs="宋体"/>
                <w:b/>
                <w:bCs/>
                <w:color w:val="000000"/>
                <w:kern w:val="0"/>
                <w:sz w:val="18"/>
                <w:szCs w:val="22"/>
              </w:rPr>
            </w:pPr>
            <w:r>
              <w:rPr>
                <w:rFonts w:hint="eastAsia" w:ascii="微软雅黑" w:hAnsi="微软雅黑" w:eastAsia="微软雅黑" w:cs="宋体"/>
                <w:b/>
                <w:bCs/>
                <w:color w:val="000000"/>
                <w:kern w:val="0"/>
                <w:sz w:val="18"/>
                <w:szCs w:val="22"/>
              </w:rPr>
              <w:t>收货地址</w:t>
            </w:r>
          </w:p>
        </w:tc>
        <w:tc>
          <w:tcPr>
            <w:tcW w:w="595" w:type="pct"/>
            <w:tcBorders>
              <w:top w:val="single" w:color="auto" w:sz="4" w:space="0"/>
              <w:left w:val="nil"/>
              <w:bottom w:val="single" w:color="auto" w:sz="4" w:space="0"/>
              <w:right w:val="single" w:color="auto" w:sz="4" w:space="0"/>
            </w:tcBorders>
            <w:shd w:val="clear" w:color="000000" w:fill="538DD5"/>
            <w:vAlign w:val="center"/>
          </w:tcPr>
          <w:p>
            <w:pPr>
              <w:widowControl/>
              <w:jc w:val="center"/>
              <w:rPr>
                <w:rFonts w:ascii="微软雅黑" w:hAnsi="微软雅黑" w:eastAsia="微软雅黑" w:cs="宋体"/>
                <w:b/>
                <w:bCs/>
                <w:color w:val="000000"/>
                <w:kern w:val="0"/>
                <w:sz w:val="18"/>
                <w:szCs w:val="22"/>
              </w:rPr>
            </w:pPr>
            <w:r>
              <w:rPr>
                <w:rFonts w:hint="eastAsia" w:ascii="微软雅黑" w:hAnsi="微软雅黑" w:eastAsia="微软雅黑" w:cs="宋体"/>
                <w:b/>
                <w:bCs/>
                <w:color w:val="000000"/>
                <w:kern w:val="0"/>
                <w:sz w:val="18"/>
                <w:szCs w:val="22"/>
              </w:rPr>
              <w:t>预计运量（吨/月）</w:t>
            </w:r>
          </w:p>
        </w:tc>
        <w:tc>
          <w:tcPr>
            <w:tcW w:w="520" w:type="pct"/>
            <w:tcBorders>
              <w:top w:val="single" w:color="auto" w:sz="4" w:space="0"/>
              <w:left w:val="nil"/>
              <w:bottom w:val="single" w:color="auto" w:sz="4" w:space="0"/>
              <w:right w:val="single" w:color="auto" w:sz="4" w:space="0"/>
            </w:tcBorders>
            <w:shd w:val="clear" w:color="000000" w:fill="538DD5"/>
            <w:vAlign w:val="center"/>
          </w:tcPr>
          <w:p>
            <w:pPr>
              <w:widowControl/>
              <w:jc w:val="center"/>
              <w:rPr>
                <w:rFonts w:ascii="微软雅黑" w:hAnsi="微软雅黑" w:eastAsia="微软雅黑" w:cs="宋体"/>
                <w:b/>
                <w:bCs/>
                <w:color w:val="000000"/>
                <w:kern w:val="0"/>
                <w:sz w:val="18"/>
                <w:szCs w:val="22"/>
              </w:rPr>
            </w:pPr>
            <w:r>
              <w:rPr>
                <w:rFonts w:hint="eastAsia" w:ascii="微软雅黑" w:hAnsi="微软雅黑" w:eastAsia="微软雅黑" w:cs="宋体"/>
                <w:b/>
                <w:bCs/>
                <w:color w:val="000000"/>
                <w:kern w:val="0"/>
                <w:sz w:val="18"/>
                <w:szCs w:val="22"/>
              </w:rPr>
              <w:t>参考运距（KM）</w:t>
            </w:r>
          </w:p>
        </w:tc>
        <w:tc>
          <w:tcPr>
            <w:tcW w:w="521" w:type="pct"/>
            <w:tcBorders>
              <w:top w:val="single" w:color="auto" w:sz="4" w:space="0"/>
              <w:left w:val="nil"/>
              <w:bottom w:val="single" w:color="auto" w:sz="4" w:space="0"/>
              <w:right w:val="single" w:color="auto" w:sz="4" w:space="0"/>
            </w:tcBorders>
            <w:shd w:val="clear" w:color="000000" w:fill="538DD5"/>
            <w:vAlign w:val="center"/>
          </w:tcPr>
          <w:p>
            <w:pPr>
              <w:widowControl/>
              <w:jc w:val="center"/>
              <w:rPr>
                <w:rFonts w:ascii="微软雅黑" w:hAnsi="微软雅黑" w:eastAsia="微软雅黑" w:cs="宋体"/>
                <w:b/>
                <w:bCs/>
                <w:color w:val="000000"/>
                <w:kern w:val="0"/>
                <w:sz w:val="18"/>
                <w:szCs w:val="22"/>
              </w:rPr>
            </w:pPr>
            <w:r>
              <w:rPr>
                <w:rFonts w:hint="eastAsia" w:ascii="微软雅黑" w:hAnsi="微软雅黑" w:eastAsia="微软雅黑" w:cs="宋体"/>
                <w:b/>
                <w:bCs/>
                <w:color w:val="000000"/>
                <w:kern w:val="0"/>
                <w:sz w:val="18"/>
                <w:szCs w:val="22"/>
              </w:rPr>
              <w:t>运输方式</w:t>
            </w:r>
          </w:p>
        </w:tc>
        <w:tc>
          <w:tcPr>
            <w:tcW w:w="547" w:type="pct"/>
            <w:tcBorders>
              <w:top w:val="single" w:color="auto" w:sz="4" w:space="0"/>
              <w:left w:val="nil"/>
              <w:bottom w:val="single" w:color="auto" w:sz="4" w:space="0"/>
              <w:right w:val="single" w:color="auto" w:sz="4" w:space="0"/>
            </w:tcBorders>
            <w:shd w:val="clear" w:color="000000" w:fill="538DD5"/>
            <w:vAlign w:val="center"/>
          </w:tcPr>
          <w:p>
            <w:pPr>
              <w:widowControl/>
              <w:jc w:val="center"/>
              <w:rPr>
                <w:rFonts w:ascii="微软雅黑" w:hAnsi="微软雅黑" w:eastAsia="微软雅黑" w:cs="宋体"/>
                <w:b/>
                <w:bCs/>
                <w:color w:val="000000"/>
                <w:kern w:val="0"/>
                <w:sz w:val="18"/>
                <w:szCs w:val="22"/>
              </w:rPr>
            </w:pPr>
            <w:r>
              <w:rPr>
                <w:rFonts w:hint="eastAsia" w:ascii="微软雅黑" w:hAnsi="微软雅黑" w:eastAsia="微软雅黑" w:cs="宋体"/>
                <w:b/>
                <w:bCs/>
                <w:color w:val="000000"/>
                <w:kern w:val="0"/>
                <w:sz w:val="18"/>
                <w:szCs w:val="22"/>
              </w:rPr>
              <w:t>产品包装</w:t>
            </w:r>
          </w:p>
        </w:tc>
      </w:tr>
      <w:tr>
        <w:tblPrEx>
          <w:tblCellMar>
            <w:top w:w="0" w:type="dxa"/>
            <w:left w:w="108" w:type="dxa"/>
            <w:bottom w:w="0" w:type="dxa"/>
            <w:right w:w="108" w:type="dxa"/>
          </w:tblCellMar>
        </w:tblPrEx>
        <w:trPr>
          <w:trHeight w:val="630" w:hRule="atLeast"/>
        </w:trPr>
        <w:tc>
          <w:tcPr>
            <w:tcW w:w="354" w:type="pct"/>
            <w:tcBorders>
              <w:top w:val="nil"/>
              <w:left w:val="single" w:color="auto" w:sz="4" w:space="0"/>
              <w:bottom w:val="nil"/>
              <w:right w:val="single" w:color="auto" w:sz="4" w:space="0"/>
            </w:tcBorders>
            <w:shd w:val="clear" w:color="auto" w:fill="auto"/>
            <w:vAlign w:val="center"/>
          </w:tcPr>
          <w:p>
            <w:pPr>
              <w:widowControl/>
              <w:jc w:val="center"/>
              <w:rPr>
                <w:rFonts w:ascii="微软雅黑" w:hAnsi="微软雅黑" w:eastAsia="微软雅黑" w:cs="宋体"/>
                <w:b/>
                <w:color w:val="000000"/>
                <w:kern w:val="0"/>
                <w:sz w:val="18"/>
                <w:szCs w:val="22"/>
              </w:rPr>
            </w:pPr>
            <w:r>
              <w:rPr>
                <w:rFonts w:hint="eastAsia" w:ascii="微软雅黑" w:hAnsi="微软雅黑" w:eastAsia="微软雅黑" w:cs="宋体"/>
                <w:b/>
                <w:color w:val="000000"/>
                <w:kern w:val="0"/>
                <w:sz w:val="18"/>
                <w:szCs w:val="22"/>
              </w:rPr>
              <w:t>1</w:t>
            </w:r>
          </w:p>
        </w:tc>
        <w:tc>
          <w:tcPr>
            <w:tcW w:w="1639" w:type="pct"/>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color w:val="000000"/>
                <w:kern w:val="0"/>
                <w:sz w:val="18"/>
                <w:szCs w:val="22"/>
              </w:rPr>
            </w:pPr>
            <w:r>
              <w:rPr>
                <w:rFonts w:hint="eastAsia" w:ascii="微软雅黑" w:hAnsi="微软雅黑" w:eastAsia="微软雅黑" w:cs="宋体"/>
                <w:b/>
                <w:color w:val="000000"/>
                <w:kern w:val="0"/>
                <w:sz w:val="18"/>
                <w:szCs w:val="22"/>
              </w:rPr>
              <w:t>河北省沧州市渤海新区南疏港路北侧</w:t>
            </w:r>
            <w:r>
              <w:rPr>
                <w:rFonts w:hint="eastAsia" w:ascii="微软雅黑" w:hAnsi="微软雅黑" w:eastAsia="微软雅黑" w:cs="宋体"/>
                <w:b/>
                <w:color w:val="000000"/>
                <w:kern w:val="0"/>
                <w:sz w:val="18"/>
                <w:szCs w:val="22"/>
              </w:rPr>
              <w:br w:type="textWrapping"/>
            </w:r>
            <w:r>
              <w:rPr>
                <w:rFonts w:hint="eastAsia" w:ascii="微软雅黑" w:hAnsi="微软雅黑" w:eastAsia="微软雅黑" w:cs="宋体"/>
                <w:b/>
                <w:color w:val="000000"/>
                <w:kern w:val="0"/>
                <w:sz w:val="18"/>
                <w:szCs w:val="22"/>
              </w:rPr>
              <w:t>沧州旭阳化工有限公司</w:t>
            </w:r>
          </w:p>
        </w:tc>
        <w:tc>
          <w:tcPr>
            <w:tcW w:w="82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color w:val="000000"/>
                <w:kern w:val="0"/>
                <w:sz w:val="18"/>
                <w:szCs w:val="22"/>
              </w:rPr>
            </w:pPr>
            <w:r>
              <w:rPr>
                <w:rFonts w:hint="eastAsia" w:ascii="微软雅黑" w:hAnsi="微软雅黑" w:eastAsia="微软雅黑" w:cs="宋体"/>
                <w:b/>
                <w:color w:val="000000"/>
                <w:kern w:val="0"/>
                <w:sz w:val="18"/>
                <w:szCs w:val="22"/>
              </w:rPr>
              <w:t>内蒙古伊品生物科技有限公司</w:t>
            </w:r>
          </w:p>
        </w:tc>
        <w:tc>
          <w:tcPr>
            <w:tcW w:w="595" w:type="pct"/>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color w:val="000000"/>
                <w:kern w:val="0"/>
                <w:sz w:val="18"/>
                <w:szCs w:val="20"/>
              </w:rPr>
            </w:pPr>
            <w:r>
              <w:rPr>
                <w:rFonts w:hint="eastAsia" w:ascii="微软雅黑" w:hAnsi="微软雅黑" w:eastAsia="微软雅黑" w:cs="宋体"/>
                <w:b/>
                <w:color w:val="000000"/>
                <w:kern w:val="0"/>
                <w:sz w:val="18"/>
                <w:szCs w:val="20"/>
              </w:rPr>
              <w:t>1500</w:t>
            </w:r>
          </w:p>
        </w:tc>
        <w:tc>
          <w:tcPr>
            <w:tcW w:w="520" w:type="pct"/>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color w:val="000000"/>
                <w:kern w:val="0"/>
                <w:sz w:val="18"/>
                <w:szCs w:val="20"/>
              </w:rPr>
            </w:pPr>
            <w:r>
              <w:rPr>
                <w:rFonts w:hint="eastAsia" w:ascii="微软雅黑" w:hAnsi="微软雅黑" w:eastAsia="微软雅黑" w:cs="宋体"/>
                <w:b/>
                <w:color w:val="000000"/>
                <w:kern w:val="0"/>
                <w:sz w:val="18"/>
                <w:szCs w:val="20"/>
              </w:rPr>
              <w:t>692</w:t>
            </w:r>
          </w:p>
        </w:tc>
        <w:tc>
          <w:tcPr>
            <w:tcW w:w="521" w:type="pct"/>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color w:val="000000"/>
                <w:kern w:val="0"/>
                <w:sz w:val="18"/>
                <w:szCs w:val="22"/>
              </w:rPr>
            </w:pPr>
            <w:r>
              <w:rPr>
                <w:rFonts w:hint="eastAsia" w:ascii="微软雅黑" w:hAnsi="微软雅黑" w:eastAsia="微软雅黑" w:cs="宋体"/>
                <w:b/>
                <w:color w:val="000000"/>
                <w:kern w:val="0"/>
                <w:sz w:val="18"/>
                <w:szCs w:val="22"/>
              </w:rPr>
              <w:t>汽运</w:t>
            </w:r>
          </w:p>
        </w:tc>
        <w:tc>
          <w:tcPr>
            <w:tcW w:w="547" w:type="pct"/>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color w:val="000000"/>
                <w:kern w:val="0"/>
                <w:sz w:val="18"/>
                <w:szCs w:val="22"/>
              </w:rPr>
            </w:pPr>
            <w:r>
              <w:rPr>
                <w:rFonts w:hint="eastAsia" w:ascii="微软雅黑" w:hAnsi="微软雅黑" w:eastAsia="微软雅黑" w:cs="宋体"/>
                <w:b/>
                <w:color w:val="000000"/>
                <w:kern w:val="0"/>
                <w:sz w:val="18"/>
                <w:szCs w:val="22"/>
              </w:rPr>
              <w:t>吨袋</w:t>
            </w:r>
          </w:p>
        </w:tc>
      </w:tr>
      <w:tr>
        <w:tblPrEx>
          <w:tblCellMar>
            <w:top w:w="0" w:type="dxa"/>
            <w:left w:w="108" w:type="dxa"/>
            <w:bottom w:w="0" w:type="dxa"/>
            <w:right w:w="108" w:type="dxa"/>
          </w:tblCellMar>
        </w:tblPrEx>
        <w:trPr>
          <w:trHeight w:val="630" w:hRule="atLeast"/>
        </w:trPr>
        <w:tc>
          <w:tcPr>
            <w:tcW w:w="354" w:type="pct"/>
            <w:tcBorders>
              <w:top w:val="single" w:color="auto" w:sz="4" w:space="0"/>
              <w:left w:val="single" w:color="auto" w:sz="4" w:space="0"/>
              <w:bottom w:val="nil"/>
              <w:right w:val="single" w:color="auto" w:sz="4" w:space="0"/>
            </w:tcBorders>
            <w:shd w:val="clear" w:color="auto" w:fill="auto"/>
            <w:vAlign w:val="center"/>
          </w:tcPr>
          <w:p>
            <w:pPr>
              <w:widowControl/>
              <w:jc w:val="center"/>
              <w:rPr>
                <w:rFonts w:ascii="微软雅黑" w:hAnsi="微软雅黑" w:eastAsia="微软雅黑" w:cs="宋体"/>
                <w:b/>
                <w:color w:val="000000"/>
                <w:kern w:val="0"/>
                <w:sz w:val="18"/>
                <w:szCs w:val="22"/>
              </w:rPr>
            </w:pPr>
            <w:r>
              <w:rPr>
                <w:rFonts w:hint="eastAsia" w:ascii="微软雅黑" w:hAnsi="微软雅黑" w:eastAsia="微软雅黑" w:cs="宋体"/>
                <w:b/>
                <w:color w:val="000000"/>
                <w:kern w:val="0"/>
                <w:sz w:val="18"/>
                <w:szCs w:val="22"/>
              </w:rPr>
              <w:t>2</w:t>
            </w:r>
          </w:p>
        </w:tc>
        <w:tc>
          <w:tcPr>
            <w:tcW w:w="1639" w:type="pct"/>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color w:val="000000"/>
                <w:kern w:val="0"/>
                <w:sz w:val="18"/>
                <w:szCs w:val="22"/>
              </w:rPr>
            </w:pPr>
            <w:r>
              <w:rPr>
                <w:rFonts w:hint="eastAsia" w:ascii="微软雅黑" w:hAnsi="微软雅黑" w:eastAsia="微软雅黑" w:cs="宋体"/>
                <w:b/>
                <w:color w:val="000000"/>
                <w:kern w:val="0"/>
                <w:sz w:val="18"/>
                <w:szCs w:val="22"/>
              </w:rPr>
              <w:t>山东省菏泽市东明县南化工园区</w:t>
            </w:r>
            <w:r>
              <w:rPr>
                <w:rFonts w:hint="eastAsia" w:ascii="微软雅黑" w:hAnsi="微软雅黑" w:eastAsia="微软雅黑" w:cs="宋体"/>
                <w:b/>
                <w:color w:val="000000"/>
                <w:kern w:val="0"/>
                <w:sz w:val="18"/>
                <w:szCs w:val="22"/>
              </w:rPr>
              <w:br w:type="textWrapping"/>
            </w:r>
            <w:r>
              <w:rPr>
                <w:rFonts w:hint="eastAsia" w:ascii="微软雅黑" w:hAnsi="微软雅黑" w:eastAsia="微软雅黑" w:cs="宋体"/>
                <w:b/>
                <w:color w:val="000000"/>
                <w:kern w:val="0"/>
                <w:sz w:val="18"/>
                <w:szCs w:val="22"/>
              </w:rPr>
              <w:t>山东东巨化工股份有限公司</w:t>
            </w:r>
          </w:p>
        </w:tc>
        <w:tc>
          <w:tcPr>
            <w:tcW w:w="820" w:type="pct"/>
            <w:vMerge w:val="continue"/>
            <w:tcBorders>
              <w:top w:val="nil"/>
              <w:left w:val="single" w:color="auto" w:sz="4" w:space="0"/>
              <w:bottom w:val="single" w:color="auto" w:sz="4" w:space="0"/>
              <w:right w:val="single" w:color="auto" w:sz="4" w:space="0"/>
            </w:tcBorders>
            <w:vAlign w:val="center"/>
          </w:tcPr>
          <w:p>
            <w:pPr>
              <w:widowControl/>
              <w:jc w:val="center"/>
              <w:rPr>
                <w:rFonts w:ascii="微软雅黑" w:hAnsi="微软雅黑" w:eastAsia="微软雅黑" w:cs="宋体"/>
                <w:b/>
                <w:color w:val="000000"/>
                <w:kern w:val="0"/>
                <w:sz w:val="18"/>
                <w:szCs w:val="22"/>
              </w:rPr>
            </w:pPr>
          </w:p>
        </w:tc>
        <w:tc>
          <w:tcPr>
            <w:tcW w:w="595" w:type="pct"/>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color w:val="000000"/>
                <w:kern w:val="0"/>
                <w:sz w:val="18"/>
                <w:szCs w:val="20"/>
              </w:rPr>
            </w:pPr>
            <w:r>
              <w:rPr>
                <w:rFonts w:hint="eastAsia" w:ascii="微软雅黑" w:hAnsi="微软雅黑" w:eastAsia="微软雅黑" w:cs="宋体"/>
                <w:b/>
                <w:color w:val="000000"/>
                <w:kern w:val="0"/>
                <w:sz w:val="18"/>
                <w:szCs w:val="20"/>
              </w:rPr>
              <w:t>1000</w:t>
            </w:r>
          </w:p>
        </w:tc>
        <w:tc>
          <w:tcPr>
            <w:tcW w:w="520" w:type="pct"/>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color w:val="000000"/>
                <w:kern w:val="0"/>
                <w:sz w:val="18"/>
                <w:szCs w:val="20"/>
              </w:rPr>
            </w:pPr>
            <w:r>
              <w:rPr>
                <w:rFonts w:hint="eastAsia" w:ascii="微软雅黑" w:hAnsi="微软雅黑" w:eastAsia="微软雅黑" w:cs="宋体"/>
                <w:b/>
                <w:color w:val="000000"/>
                <w:kern w:val="0"/>
                <w:sz w:val="18"/>
                <w:szCs w:val="20"/>
              </w:rPr>
              <w:t>1074</w:t>
            </w:r>
          </w:p>
        </w:tc>
        <w:tc>
          <w:tcPr>
            <w:tcW w:w="521" w:type="pct"/>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color w:val="000000"/>
                <w:kern w:val="0"/>
                <w:sz w:val="18"/>
                <w:szCs w:val="22"/>
              </w:rPr>
            </w:pPr>
            <w:r>
              <w:rPr>
                <w:rFonts w:hint="eastAsia" w:ascii="微软雅黑" w:hAnsi="微软雅黑" w:eastAsia="微软雅黑" w:cs="宋体"/>
                <w:b/>
                <w:color w:val="000000"/>
                <w:kern w:val="0"/>
                <w:sz w:val="18"/>
                <w:szCs w:val="22"/>
              </w:rPr>
              <w:t>汽运</w:t>
            </w:r>
          </w:p>
        </w:tc>
        <w:tc>
          <w:tcPr>
            <w:tcW w:w="547" w:type="pct"/>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color w:val="000000"/>
                <w:kern w:val="0"/>
                <w:sz w:val="18"/>
                <w:szCs w:val="22"/>
              </w:rPr>
            </w:pPr>
            <w:r>
              <w:rPr>
                <w:rFonts w:hint="eastAsia" w:ascii="微软雅黑" w:hAnsi="微软雅黑" w:eastAsia="微软雅黑" w:cs="宋体"/>
                <w:b/>
                <w:color w:val="000000"/>
                <w:kern w:val="0"/>
                <w:sz w:val="18"/>
                <w:szCs w:val="22"/>
              </w:rPr>
              <w:t>吨袋/小袋</w:t>
            </w:r>
          </w:p>
        </w:tc>
      </w:tr>
      <w:tr>
        <w:tblPrEx>
          <w:tblCellMar>
            <w:top w:w="0" w:type="dxa"/>
            <w:left w:w="108" w:type="dxa"/>
            <w:bottom w:w="0" w:type="dxa"/>
            <w:right w:w="108" w:type="dxa"/>
          </w:tblCellMar>
        </w:tblPrEx>
        <w:trPr>
          <w:trHeight w:val="630" w:hRule="atLeast"/>
        </w:trPr>
        <w:tc>
          <w:tcPr>
            <w:tcW w:w="354" w:type="pct"/>
            <w:tcBorders>
              <w:top w:val="single" w:color="auto" w:sz="4" w:space="0"/>
              <w:left w:val="single" w:color="auto" w:sz="4" w:space="0"/>
              <w:bottom w:val="nil"/>
              <w:right w:val="single" w:color="auto" w:sz="4" w:space="0"/>
            </w:tcBorders>
            <w:shd w:val="clear" w:color="auto" w:fill="auto"/>
            <w:vAlign w:val="center"/>
          </w:tcPr>
          <w:p>
            <w:pPr>
              <w:widowControl/>
              <w:jc w:val="center"/>
              <w:rPr>
                <w:rFonts w:ascii="微软雅黑" w:hAnsi="微软雅黑" w:eastAsia="微软雅黑" w:cs="宋体"/>
                <w:b/>
                <w:color w:val="000000"/>
                <w:kern w:val="0"/>
                <w:sz w:val="18"/>
                <w:szCs w:val="22"/>
              </w:rPr>
            </w:pPr>
            <w:r>
              <w:rPr>
                <w:rFonts w:hint="eastAsia" w:ascii="微软雅黑" w:hAnsi="微软雅黑" w:eastAsia="微软雅黑" w:cs="宋体"/>
                <w:b/>
                <w:color w:val="000000"/>
                <w:kern w:val="0"/>
                <w:sz w:val="18"/>
                <w:szCs w:val="22"/>
              </w:rPr>
              <w:t>3</w:t>
            </w:r>
          </w:p>
        </w:tc>
        <w:tc>
          <w:tcPr>
            <w:tcW w:w="1639" w:type="pct"/>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color w:val="000000"/>
                <w:kern w:val="0"/>
                <w:sz w:val="18"/>
                <w:szCs w:val="22"/>
              </w:rPr>
            </w:pPr>
            <w:r>
              <w:rPr>
                <w:rFonts w:hint="eastAsia" w:ascii="微软雅黑" w:hAnsi="微软雅黑" w:eastAsia="微软雅黑" w:cs="宋体"/>
                <w:b/>
                <w:color w:val="000000"/>
                <w:kern w:val="0"/>
                <w:sz w:val="18"/>
                <w:szCs w:val="22"/>
              </w:rPr>
              <w:t>河北省沧州市渤海新区南疏港路北侧</w:t>
            </w:r>
            <w:r>
              <w:rPr>
                <w:rFonts w:hint="eastAsia" w:ascii="微软雅黑" w:hAnsi="微软雅黑" w:eastAsia="微软雅黑" w:cs="宋体"/>
                <w:b/>
                <w:color w:val="000000"/>
                <w:kern w:val="0"/>
                <w:sz w:val="18"/>
                <w:szCs w:val="22"/>
              </w:rPr>
              <w:br w:type="textWrapping"/>
            </w:r>
            <w:r>
              <w:rPr>
                <w:rFonts w:hint="eastAsia" w:ascii="微软雅黑" w:hAnsi="微软雅黑" w:eastAsia="微软雅黑" w:cs="宋体"/>
                <w:b/>
                <w:color w:val="000000"/>
                <w:kern w:val="0"/>
                <w:sz w:val="18"/>
                <w:szCs w:val="22"/>
              </w:rPr>
              <w:t>沧州旭阳化工有限公司</w:t>
            </w:r>
          </w:p>
        </w:tc>
        <w:tc>
          <w:tcPr>
            <w:tcW w:w="820"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color w:val="000000"/>
                <w:kern w:val="0"/>
                <w:sz w:val="18"/>
                <w:szCs w:val="22"/>
              </w:rPr>
            </w:pPr>
            <w:r>
              <w:rPr>
                <w:rFonts w:hint="eastAsia" w:ascii="微软雅黑" w:hAnsi="微软雅黑" w:eastAsia="微软雅黑" w:cs="宋体"/>
                <w:b/>
                <w:color w:val="000000"/>
                <w:kern w:val="0"/>
                <w:sz w:val="18"/>
                <w:szCs w:val="22"/>
              </w:rPr>
              <w:t>黑龙江伊品生物科技有限公司</w:t>
            </w:r>
          </w:p>
        </w:tc>
        <w:tc>
          <w:tcPr>
            <w:tcW w:w="595" w:type="pct"/>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color w:val="000000"/>
                <w:kern w:val="0"/>
                <w:sz w:val="18"/>
                <w:szCs w:val="20"/>
              </w:rPr>
            </w:pPr>
            <w:r>
              <w:rPr>
                <w:rFonts w:hint="eastAsia" w:ascii="微软雅黑" w:hAnsi="微软雅黑" w:eastAsia="微软雅黑" w:cs="宋体"/>
                <w:b/>
                <w:color w:val="000000"/>
                <w:kern w:val="0"/>
                <w:sz w:val="18"/>
                <w:szCs w:val="20"/>
              </w:rPr>
              <w:t>1500</w:t>
            </w:r>
          </w:p>
        </w:tc>
        <w:tc>
          <w:tcPr>
            <w:tcW w:w="520" w:type="pct"/>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color w:val="000000"/>
                <w:kern w:val="0"/>
                <w:sz w:val="18"/>
                <w:szCs w:val="20"/>
              </w:rPr>
            </w:pPr>
            <w:r>
              <w:rPr>
                <w:rFonts w:hint="eastAsia" w:ascii="微软雅黑" w:hAnsi="微软雅黑" w:eastAsia="微软雅黑" w:cs="宋体"/>
                <w:b/>
                <w:color w:val="000000"/>
                <w:kern w:val="0"/>
                <w:sz w:val="18"/>
                <w:szCs w:val="20"/>
              </w:rPr>
              <w:t>1451</w:t>
            </w:r>
          </w:p>
        </w:tc>
        <w:tc>
          <w:tcPr>
            <w:tcW w:w="521" w:type="pct"/>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color w:val="000000"/>
                <w:kern w:val="0"/>
                <w:sz w:val="18"/>
                <w:szCs w:val="22"/>
              </w:rPr>
            </w:pPr>
            <w:r>
              <w:rPr>
                <w:rFonts w:hint="eastAsia" w:ascii="微软雅黑" w:hAnsi="微软雅黑" w:eastAsia="微软雅黑" w:cs="宋体"/>
                <w:b/>
                <w:color w:val="000000"/>
                <w:kern w:val="0"/>
                <w:sz w:val="18"/>
                <w:szCs w:val="22"/>
              </w:rPr>
              <w:t>汽运</w:t>
            </w:r>
          </w:p>
        </w:tc>
        <w:tc>
          <w:tcPr>
            <w:tcW w:w="547" w:type="pct"/>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color w:val="000000"/>
                <w:kern w:val="0"/>
                <w:sz w:val="18"/>
                <w:szCs w:val="22"/>
              </w:rPr>
            </w:pPr>
            <w:r>
              <w:rPr>
                <w:rFonts w:hint="eastAsia" w:ascii="微软雅黑" w:hAnsi="微软雅黑" w:eastAsia="微软雅黑" w:cs="宋体"/>
                <w:b/>
                <w:color w:val="000000"/>
                <w:kern w:val="0"/>
                <w:sz w:val="18"/>
                <w:szCs w:val="22"/>
              </w:rPr>
              <w:t>吨袋</w:t>
            </w:r>
          </w:p>
        </w:tc>
      </w:tr>
      <w:tr>
        <w:tblPrEx>
          <w:tblCellMar>
            <w:top w:w="0" w:type="dxa"/>
            <w:left w:w="108" w:type="dxa"/>
            <w:bottom w:w="0" w:type="dxa"/>
            <w:right w:w="108" w:type="dxa"/>
          </w:tblCellMar>
        </w:tblPrEx>
        <w:trPr>
          <w:trHeight w:val="630" w:hRule="atLeast"/>
        </w:trPr>
        <w:tc>
          <w:tcPr>
            <w:tcW w:w="354" w:type="pct"/>
            <w:tcBorders>
              <w:top w:val="single" w:color="auto" w:sz="4" w:space="0"/>
              <w:left w:val="single" w:color="auto" w:sz="4" w:space="0"/>
              <w:bottom w:val="nil"/>
              <w:right w:val="single" w:color="auto" w:sz="4" w:space="0"/>
            </w:tcBorders>
            <w:shd w:val="clear" w:color="auto" w:fill="auto"/>
            <w:vAlign w:val="center"/>
          </w:tcPr>
          <w:p>
            <w:pPr>
              <w:widowControl/>
              <w:jc w:val="center"/>
              <w:rPr>
                <w:rFonts w:ascii="微软雅黑" w:hAnsi="微软雅黑" w:eastAsia="微软雅黑" w:cs="宋体"/>
                <w:b/>
                <w:color w:val="000000"/>
                <w:kern w:val="0"/>
                <w:sz w:val="18"/>
                <w:szCs w:val="22"/>
              </w:rPr>
            </w:pPr>
            <w:r>
              <w:rPr>
                <w:rFonts w:hint="eastAsia" w:ascii="微软雅黑" w:hAnsi="微软雅黑" w:eastAsia="微软雅黑" w:cs="宋体"/>
                <w:b/>
                <w:color w:val="000000"/>
                <w:kern w:val="0"/>
                <w:sz w:val="18"/>
                <w:szCs w:val="22"/>
              </w:rPr>
              <w:t>4</w:t>
            </w:r>
          </w:p>
        </w:tc>
        <w:tc>
          <w:tcPr>
            <w:tcW w:w="1639" w:type="pct"/>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color w:val="000000"/>
                <w:kern w:val="0"/>
                <w:sz w:val="18"/>
                <w:szCs w:val="22"/>
              </w:rPr>
            </w:pPr>
            <w:r>
              <w:rPr>
                <w:rFonts w:hint="eastAsia" w:ascii="微软雅黑" w:hAnsi="微软雅黑" w:eastAsia="微软雅黑" w:cs="宋体"/>
                <w:b/>
                <w:color w:val="000000"/>
                <w:kern w:val="0"/>
                <w:sz w:val="18"/>
                <w:szCs w:val="22"/>
              </w:rPr>
              <w:t>山东省菏泽市东明县南化工园区</w:t>
            </w:r>
            <w:r>
              <w:rPr>
                <w:rFonts w:hint="eastAsia" w:ascii="微软雅黑" w:hAnsi="微软雅黑" w:eastAsia="微软雅黑" w:cs="宋体"/>
                <w:b/>
                <w:color w:val="000000"/>
                <w:kern w:val="0"/>
                <w:sz w:val="18"/>
                <w:szCs w:val="22"/>
              </w:rPr>
              <w:br w:type="textWrapping"/>
            </w:r>
            <w:r>
              <w:rPr>
                <w:rFonts w:hint="eastAsia" w:ascii="微软雅黑" w:hAnsi="微软雅黑" w:eastAsia="微软雅黑" w:cs="宋体"/>
                <w:b/>
                <w:color w:val="000000"/>
                <w:kern w:val="0"/>
                <w:sz w:val="18"/>
                <w:szCs w:val="22"/>
              </w:rPr>
              <w:t>山东东巨化工股份有限公司</w:t>
            </w:r>
          </w:p>
        </w:tc>
        <w:tc>
          <w:tcPr>
            <w:tcW w:w="820" w:type="pct"/>
            <w:vMerge w:val="continue"/>
            <w:tcBorders>
              <w:top w:val="nil"/>
              <w:left w:val="single" w:color="auto" w:sz="4" w:space="0"/>
              <w:bottom w:val="single" w:color="auto" w:sz="4" w:space="0"/>
              <w:right w:val="single" w:color="auto" w:sz="4" w:space="0"/>
            </w:tcBorders>
            <w:vAlign w:val="center"/>
          </w:tcPr>
          <w:p>
            <w:pPr>
              <w:widowControl/>
              <w:jc w:val="center"/>
              <w:rPr>
                <w:rFonts w:ascii="微软雅黑" w:hAnsi="微软雅黑" w:eastAsia="微软雅黑" w:cs="宋体"/>
                <w:b/>
                <w:color w:val="000000"/>
                <w:kern w:val="0"/>
                <w:sz w:val="18"/>
                <w:szCs w:val="22"/>
              </w:rPr>
            </w:pPr>
          </w:p>
        </w:tc>
        <w:tc>
          <w:tcPr>
            <w:tcW w:w="595" w:type="pct"/>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color w:val="000000"/>
                <w:kern w:val="0"/>
                <w:sz w:val="18"/>
                <w:szCs w:val="20"/>
              </w:rPr>
            </w:pPr>
            <w:r>
              <w:rPr>
                <w:rFonts w:hint="eastAsia" w:ascii="微软雅黑" w:hAnsi="微软雅黑" w:eastAsia="微软雅黑" w:cs="宋体"/>
                <w:b/>
                <w:color w:val="000000"/>
                <w:kern w:val="0"/>
                <w:sz w:val="18"/>
                <w:szCs w:val="20"/>
              </w:rPr>
              <w:t>1000</w:t>
            </w:r>
          </w:p>
        </w:tc>
        <w:tc>
          <w:tcPr>
            <w:tcW w:w="520" w:type="pct"/>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color w:val="000000"/>
                <w:kern w:val="0"/>
                <w:sz w:val="18"/>
                <w:szCs w:val="20"/>
              </w:rPr>
            </w:pPr>
            <w:r>
              <w:rPr>
                <w:rFonts w:hint="eastAsia" w:ascii="微软雅黑" w:hAnsi="微软雅黑" w:eastAsia="微软雅黑" w:cs="宋体"/>
                <w:b/>
                <w:color w:val="000000"/>
                <w:kern w:val="0"/>
                <w:sz w:val="18"/>
                <w:szCs w:val="20"/>
              </w:rPr>
              <w:t>1888</w:t>
            </w:r>
          </w:p>
        </w:tc>
        <w:tc>
          <w:tcPr>
            <w:tcW w:w="521" w:type="pct"/>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color w:val="000000"/>
                <w:kern w:val="0"/>
                <w:sz w:val="18"/>
                <w:szCs w:val="22"/>
              </w:rPr>
            </w:pPr>
            <w:r>
              <w:rPr>
                <w:rFonts w:hint="eastAsia" w:ascii="微软雅黑" w:hAnsi="微软雅黑" w:eastAsia="微软雅黑" w:cs="宋体"/>
                <w:b/>
                <w:color w:val="000000"/>
                <w:kern w:val="0"/>
                <w:sz w:val="18"/>
                <w:szCs w:val="22"/>
              </w:rPr>
              <w:t>汽运</w:t>
            </w:r>
          </w:p>
        </w:tc>
        <w:tc>
          <w:tcPr>
            <w:tcW w:w="547" w:type="pct"/>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color w:val="000000"/>
                <w:kern w:val="0"/>
                <w:sz w:val="18"/>
                <w:szCs w:val="22"/>
              </w:rPr>
            </w:pPr>
            <w:r>
              <w:rPr>
                <w:rFonts w:hint="eastAsia" w:ascii="微软雅黑" w:hAnsi="微软雅黑" w:eastAsia="微软雅黑" w:cs="宋体"/>
                <w:b/>
                <w:color w:val="000000"/>
                <w:kern w:val="0"/>
                <w:sz w:val="18"/>
                <w:szCs w:val="22"/>
              </w:rPr>
              <w:t>吨袋/小袋</w:t>
            </w:r>
          </w:p>
        </w:tc>
      </w:tr>
      <w:tr>
        <w:tblPrEx>
          <w:tblCellMar>
            <w:top w:w="0" w:type="dxa"/>
            <w:left w:w="108" w:type="dxa"/>
            <w:bottom w:w="0" w:type="dxa"/>
            <w:right w:w="108" w:type="dxa"/>
          </w:tblCellMar>
        </w:tblPrEx>
        <w:trPr>
          <w:trHeight w:val="630" w:hRule="atLeast"/>
        </w:trPr>
        <w:tc>
          <w:tcPr>
            <w:tcW w:w="5000" w:type="pct"/>
            <w:gridSpan w:val="7"/>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微软雅黑" w:hAnsi="微软雅黑" w:eastAsia="微软雅黑" w:cs="宋体"/>
                <w:b/>
                <w:color w:val="000000"/>
                <w:kern w:val="0"/>
                <w:sz w:val="20"/>
                <w:szCs w:val="20"/>
              </w:rPr>
            </w:pPr>
            <w:r>
              <w:rPr>
                <w:rFonts w:hint="eastAsia" w:ascii="微软雅黑" w:hAnsi="微软雅黑" w:eastAsia="微软雅黑" w:cs="宋体"/>
                <w:b/>
                <w:color w:val="000000"/>
                <w:kern w:val="0"/>
                <w:sz w:val="20"/>
                <w:szCs w:val="20"/>
              </w:rPr>
              <w:t>1、标的澄清人：崔经理  15248668352；</w:t>
            </w:r>
          </w:p>
        </w:tc>
      </w:tr>
      <w:tr>
        <w:tblPrEx>
          <w:tblCellMar>
            <w:top w:w="0" w:type="dxa"/>
            <w:left w:w="108" w:type="dxa"/>
            <w:bottom w:w="0" w:type="dxa"/>
            <w:right w:w="108" w:type="dxa"/>
          </w:tblCellMar>
        </w:tblPrEx>
        <w:trPr>
          <w:trHeight w:val="630" w:hRule="atLeast"/>
        </w:trPr>
        <w:tc>
          <w:tcPr>
            <w:tcW w:w="5000" w:type="pct"/>
            <w:gridSpan w:val="7"/>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微软雅黑" w:hAnsi="微软雅黑" w:eastAsia="微软雅黑" w:cs="宋体"/>
                <w:b/>
                <w:color w:val="000000"/>
                <w:kern w:val="0"/>
                <w:sz w:val="20"/>
                <w:szCs w:val="20"/>
              </w:rPr>
            </w:pPr>
            <w:r>
              <w:rPr>
                <w:rFonts w:hint="eastAsia" w:ascii="微软雅黑" w:hAnsi="微软雅黑" w:eastAsia="微软雅黑" w:cs="宋体"/>
                <w:b/>
                <w:color w:val="000000"/>
                <w:kern w:val="0"/>
                <w:sz w:val="20"/>
                <w:szCs w:val="20"/>
              </w:rPr>
              <w:t>2、本次招标预计运量为预估数量，不作为任何拉运、结算等其他用途的依据，具体拉运数量以实际采购下达拉运数量为准。</w:t>
            </w:r>
          </w:p>
        </w:tc>
      </w:tr>
    </w:tbl>
    <w:p>
      <w:pPr>
        <w:jc w:val="left"/>
        <w:rPr>
          <w:rFonts w:ascii="宋体" w:hAnsi="宋体"/>
          <w:b/>
          <w:sz w:val="24"/>
        </w:rPr>
      </w:pPr>
    </w:p>
    <w:p>
      <w:pPr>
        <w:spacing w:line="500" w:lineRule="exact"/>
        <w:jc w:val="left"/>
        <w:rPr>
          <w:rFonts w:ascii="宋体" w:hAnsi="宋体"/>
          <w:b/>
          <w:sz w:val="24"/>
        </w:rPr>
      </w:pPr>
      <w:r>
        <w:rPr>
          <w:rFonts w:hint="eastAsia" w:ascii="宋体" w:hAnsi="宋体"/>
          <w:b/>
          <w:sz w:val="24"/>
        </w:rPr>
        <w:t xml:space="preserve">四、投标资格要求 </w:t>
      </w:r>
    </w:p>
    <w:p>
      <w:pPr>
        <w:spacing w:line="440" w:lineRule="exact"/>
        <w:ind w:firstLine="480" w:firstLineChars="200"/>
        <w:rPr>
          <w:rFonts w:ascii="宋体" w:hAnsi="宋体"/>
          <w:sz w:val="24"/>
        </w:rPr>
      </w:pPr>
      <w:r>
        <w:rPr>
          <w:rFonts w:hint="eastAsia" w:ascii="宋体" w:hAnsi="宋体"/>
          <w:sz w:val="24"/>
        </w:rPr>
        <w:t>4.1本着优质服务、合作双赢的原则，结合公司的实际发货情况、满足客户需求、保证市场供应，对配送资源进行优化、整合</w:t>
      </w:r>
      <w:bookmarkStart w:id="0" w:name="_GoBack"/>
      <w:bookmarkEnd w:id="0"/>
      <w:r>
        <w:rPr>
          <w:rFonts w:hint="eastAsia" w:ascii="宋体" w:hAnsi="宋体"/>
          <w:sz w:val="24"/>
        </w:rPr>
        <w:t>、建立战略合作伙伴关系。</w:t>
      </w:r>
    </w:p>
    <w:p>
      <w:pPr>
        <w:spacing w:line="440" w:lineRule="exact"/>
        <w:ind w:firstLine="470" w:firstLineChars="196"/>
        <w:rPr>
          <w:rFonts w:ascii="宋体" w:hAnsi="宋体"/>
          <w:sz w:val="24"/>
        </w:rPr>
      </w:pPr>
      <w:r>
        <w:rPr>
          <w:rFonts w:hint="eastAsia" w:ascii="宋体" w:hAnsi="宋体"/>
          <w:sz w:val="24"/>
        </w:rPr>
        <w:t>4.2报价单位资质齐全（</w:t>
      </w:r>
      <w:r>
        <w:rPr>
          <w:rFonts w:hint="eastAsia" w:ascii="宋体" w:hAnsi="宋体"/>
          <w:color w:val="FF0000"/>
          <w:sz w:val="24"/>
        </w:rPr>
        <w:t>详细资质联系招标方报名成功后获得投标文件要求</w:t>
      </w:r>
      <w:r>
        <w:rPr>
          <w:rFonts w:hint="eastAsia" w:ascii="宋体" w:hAnsi="宋体"/>
          <w:sz w:val="24"/>
        </w:rPr>
        <w:t>）。</w:t>
      </w:r>
    </w:p>
    <w:p>
      <w:pPr>
        <w:spacing w:line="440" w:lineRule="exact"/>
        <w:ind w:firstLine="470" w:firstLineChars="196"/>
        <w:rPr>
          <w:rFonts w:ascii="宋体" w:hAnsi="宋体"/>
          <w:sz w:val="24"/>
        </w:rPr>
      </w:pPr>
      <w:r>
        <w:rPr>
          <w:rFonts w:hint="eastAsia" w:ascii="宋体" w:hAnsi="宋体"/>
          <w:sz w:val="24"/>
        </w:rPr>
        <w:t>4.3投标单位公司成立满一年以上，注册资金在</w:t>
      </w:r>
      <w:r>
        <w:rPr>
          <w:rFonts w:hint="eastAsia" w:ascii="宋体" w:hAnsi="宋体"/>
          <w:color w:val="FF0000"/>
          <w:sz w:val="24"/>
          <w:u w:val="single"/>
        </w:rPr>
        <w:t>200</w:t>
      </w:r>
      <w:r>
        <w:rPr>
          <w:rFonts w:hint="eastAsia" w:ascii="宋体" w:hAnsi="宋体"/>
          <w:sz w:val="24"/>
        </w:rPr>
        <w:t>万元以上且资信良好，具备独立法人资格，不接受两家或两家以上联合投标、串标，垫资能力为所中标的周期内运费总额的25%，最低不得少于</w:t>
      </w:r>
      <w:r>
        <w:rPr>
          <w:rFonts w:hint="eastAsia" w:ascii="宋体" w:hAnsi="宋体"/>
          <w:color w:val="FF0000"/>
          <w:sz w:val="24"/>
          <w:u w:val="single"/>
        </w:rPr>
        <w:t>200</w:t>
      </w:r>
      <w:r>
        <w:rPr>
          <w:rFonts w:hint="eastAsia" w:ascii="宋体" w:hAnsi="宋体"/>
          <w:sz w:val="24"/>
        </w:rPr>
        <w:t>万；</w:t>
      </w:r>
    </w:p>
    <w:p>
      <w:pPr>
        <w:spacing w:line="440" w:lineRule="exact"/>
        <w:ind w:firstLine="470" w:firstLineChars="196"/>
        <w:rPr>
          <w:rFonts w:ascii="宋体" w:hAnsi="宋体"/>
          <w:sz w:val="24"/>
        </w:rPr>
      </w:pPr>
      <w:r>
        <w:rPr>
          <w:rFonts w:hint="eastAsia" w:ascii="宋体" w:hAnsi="宋体"/>
          <w:sz w:val="24"/>
        </w:rPr>
        <w:t>4.4投标单位从事一年以上运输业务，提供24小时运输服务，信息渠道健全；</w:t>
      </w:r>
    </w:p>
    <w:p>
      <w:pPr>
        <w:spacing w:line="440" w:lineRule="exact"/>
        <w:ind w:firstLine="470" w:firstLineChars="196"/>
        <w:rPr>
          <w:rFonts w:ascii="宋体" w:hAnsi="宋体"/>
          <w:sz w:val="24"/>
        </w:rPr>
      </w:pPr>
      <w:r>
        <w:rPr>
          <w:rFonts w:hint="eastAsia" w:ascii="宋体" w:hAnsi="宋体"/>
          <w:sz w:val="24"/>
        </w:rPr>
        <w:t>4.5具备强有力的资源整合能力、抗运输风险能力和运输质量保障能力；</w:t>
      </w:r>
    </w:p>
    <w:p>
      <w:pPr>
        <w:spacing w:line="440" w:lineRule="exact"/>
        <w:ind w:firstLine="470" w:firstLineChars="196"/>
        <w:rPr>
          <w:rFonts w:ascii="宋体" w:hAnsi="宋体"/>
          <w:sz w:val="24"/>
        </w:rPr>
      </w:pPr>
      <w:r>
        <w:rPr>
          <w:rFonts w:hint="eastAsia" w:ascii="宋体" w:hAnsi="宋体"/>
          <w:sz w:val="24"/>
        </w:rPr>
        <w:t>4.6能提供专属专业的运输服务、提供公司自有或者挂靠车辆证明，包含车牌号、行驶证，挂靠合同等；</w:t>
      </w:r>
    </w:p>
    <w:p>
      <w:pPr>
        <w:spacing w:line="440" w:lineRule="exact"/>
        <w:ind w:firstLine="470" w:firstLineChars="196"/>
        <w:rPr>
          <w:rFonts w:ascii="宋体" w:hAnsi="宋体"/>
          <w:sz w:val="24"/>
        </w:rPr>
      </w:pPr>
      <w:r>
        <w:rPr>
          <w:rFonts w:hint="eastAsia" w:ascii="宋体" w:hAnsi="宋体"/>
          <w:sz w:val="24"/>
        </w:rPr>
        <w:t>4.7</w:t>
      </w:r>
      <w:r>
        <w:rPr>
          <w:rFonts w:hint="eastAsia" w:ascii="宋体" w:hAnsi="宋体"/>
          <w:sz w:val="24"/>
        </w:rPr>
        <w:tab/>
      </w:r>
      <w:r>
        <w:rPr>
          <w:rFonts w:hint="eastAsia" w:ascii="宋体" w:hAnsi="宋体"/>
          <w:sz w:val="24"/>
        </w:rPr>
        <w:t>能提供专属的项目管理人员负责管理及调度工作；</w:t>
      </w:r>
    </w:p>
    <w:p>
      <w:pPr>
        <w:spacing w:line="440" w:lineRule="exact"/>
        <w:ind w:firstLine="470" w:firstLineChars="196"/>
        <w:rPr>
          <w:rFonts w:ascii="宋体" w:hAnsi="宋体"/>
          <w:sz w:val="24"/>
        </w:rPr>
      </w:pPr>
      <w:r>
        <w:rPr>
          <w:rFonts w:hint="eastAsia" w:ascii="宋体" w:hAnsi="宋体"/>
          <w:sz w:val="24"/>
        </w:rPr>
        <w:t>4.8中标人必须遵守宁夏伊品生物科技股份有限公司及其关联方制定的TMS平台运输管理要求、日常运输要求、单据文件管理等标准工作流程。宁夏伊品生物科技股份有限公司及其关联方可对有关流程进行定期或不定期更新及修改，中标单位必须安排员工参加培训工作；</w:t>
      </w:r>
    </w:p>
    <w:p>
      <w:pPr>
        <w:spacing w:line="440" w:lineRule="exact"/>
        <w:ind w:firstLine="480" w:firstLineChars="200"/>
        <w:rPr>
          <w:rFonts w:ascii="宋体" w:hAnsi="宋体"/>
          <w:sz w:val="24"/>
        </w:rPr>
      </w:pPr>
      <w:r>
        <w:rPr>
          <w:rFonts w:hint="eastAsia" w:ascii="宋体" w:hAnsi="宋体"/>
          <w:sz w:val="24"/>
        </w:rPr>
        <w:t>4.9因出现重大事故、被竞价方通报除名或违反廉政协议等原因造成提前终止合同的运输单位，以及曾与我司合作中弃标的单位，不得参与竞价；</w:t>
      </w:r>
    </w:p>
    <w:p>
      <w:pPr>
        <w:spacing w:line="440" w:lineRule="exact"/>
        <w:ind w:firstLine="480" w:firstLineChars="200"/>
        <w:rPr>
          <w:rFonts w:ascii="宋体" w:hAnsi="宋体"/>
          <w:sz w:val="24"/>
        </w:rPr>
      </w:pPr>
      <w:r>
        <w:rPr>
          <w:rFonts w:hint="eastAsia" w:ascii="宋体" w:hAnsi="宋体"/>
          <w:sz w:val="24"/>
        </w:rPr>
        <w:t>4</w:t>
      </w:r>
      <w:r>
        <w:rPr>
          <w:rFonts w:ascii="宋体" w:hAnsi="宋体"/>
          <w:sz w:val="24"/>
        </w:rPr>
        <w:t>.10</w:t>
      </w:r>
      <w:r>
        <w:rPr>
          <w:rFonts w:hint="eastAsia" w:ascii="宋体" w:hAnsi="宋体"/>
          <w:sz w:val="24"/>
        </w:rPr>
        <w:t>财务状况正常、没有处于被责令停业、财产被冻结、接管、破产状态；</w:t>
      </w:r>
    </w:p>
    <w:p>
      <w:pPr>
        <w:spacing w:line="440" w:lineRule="exact"/>
        <w:ind w:firstLine="470" w:firstLineChars="196"/>
        <w:rPr>
          <w:rFonts w:ascii="宋体" w:hAnsi="宋体"/>
          <w:sz w:val="24"/>
        </w:rPr>
      </w:pPr>
      <w:r>
        <w:rPr>
          <w:rFonts w:hint="eastAsia" w:ascii="宋体" w:hAnsi="宋体"/>
          <w:sz w:val="24"/>
        </w:rPr>
        <w:t>4</w:t>
      </w:r>
      <w:r>
        <w:rPr>
          <w:rFonts w:ascii="宋体" w:hAnsi="宋体"/>
          <w:sz w:val="24"/>
        </w:rPr>
        <w:t>.11</w:t>
      </w:r>
      <w:r>
        <w:rPr>
          <w:rFonts w:hint="eastAsia" w:ascii="宋体" w:hAnsi="宋体"/>
          <w:sz w:val="24"/>
        </w:rPr>
        <w:t>具备开具符合国家法律法规和标准的运输业增值税专用发票；</w:t>
      </w:r>
    </w:p>
    <w:p>
      <w:pPr>
        <w:spacing w:line="500" w:lineRule="exact"/>
        <w:jc w:val="left"/>
        <w:rPr>
          <w:rFonts w:ascii="宋体" w:hAnsi="宋体"/>
          <w:b/>
          <w:sz w:val="24"/>
        </w:rPr>
      </w:pPr>
      <w:r>
        <w:rPr>
          <w:rFonts w:hint="eastAsia" w:ascii="宋体" w:hAnsi="宋体"/>
          <w:b/>
          <w:sz w:val="24"/>
        </w:rPr>
        <w:t>五、报价说明</w:t>
      </w:r>
    </w:p>
    <w:p>
      <w:pPr>
        <w:snapToGrid w:val="0"/>
        <w:spacing w:line="440" w:lineRule="exact"/>
        <w:ind w:firstLine="480" w:firstLineChars="200"/>
        <w:jc w:val="left"/>
        <w:rPr>
          <w:rFonts w:ascii="宋体" w:hAnsi="宋体" w:cs="宋体"/>
          <w:sz w:val="24"/>
        </w:rPr>
      </w:pPr>
      <w:r>
        <w:rPr>
          <w:rFonts w:hint="eastAsia" w:ascii="宋体" w:hAnsi="宋体" w:cs="宋体"/>
          <w:sz w:val="24"/>
        </w:rPr>
        <w:t>5.1报价单位：“元/吨”；</w:t>
      </w:r>
    </w:p>
    <w:p>
      <w:pPr>
        <w:snapToGrid w:val="0"/>
        <w:spacing w:line="440" w:lineRule="exact"/>
        <w:ind w:firstLine="480" w:firstLineChars="200"/>
        <w:jc w:val="left"/>
        <w:rPr>
          <w:rFonts w:ascii="宋体" w:hAnsi="宋体" w:cs="宋体"/>
          <w:sz w:val="24"/>
        </w:rPr>
      </w:pPr>
      <w:r>
        <w:rPr>
          <w:rFonts w:hint="eastAsia" w:ascii="宋体" w:hAnsi="宋体" w:cs="宋体"/>
          <w:sz w:val="24"/>
        </w:rPr>
        <w:t>5.2报价包含但不限于全程运费、9%运输增值税发票、油料费、全程高速过路费、保险、防护费用等一切在运输途中产生的费用，以及在配送过程中因疫情等因素额外产生的费用）；</w:t>
      </w:r>
    </w:p>
    <w:p>
      <w:pPr>
        <w:snapToGrid w:val="0"/>
        <w:spacing w:line="440" w:lineRule="exact"/>
        <w:ind w:firstLine="480" w:firstLineChars="200"/>
        <w:jc w:val="left"/>
        <w:rPr>
          <w:rFonts w:ascii="宋体" w:hAnsi="宋体" w:cs="宋体"/>
          <w:sz w:val="24"/>
        </w:rPr>
      </w:pPr>
      <w:r>
        <w:rPr>
          <w:rFonts w:hint="eastAsia" w:ascii="宋体" w:hAnsi="宋体" w:cs="宋体"/>
          <w:sz w:val="24"/>
        </w:rPr>
        <w:t>5.3标的周期：2023年2月15日至2023年12月31日</w:t>
      </w:r>
    </w:p>
    <w:p>
      <w:pPr>
        <w:spacing w:line="440" w:lineRule="exact"/>
        <w:ind w:firstLine="480" w:firstLineChars="200"/>
        <w:jc w:val="left"/>
        <w:rPr>
          <w:rFonts w:ascii="宋体" w:hAnsi="宋体"/>
          <w:sz w:val="24"/>
        </w:rPr>
      </w:pPr>
      <w:r>
        <w:rPr>
          <w:rFonts w:hint="eastAsia" w:ascii="宋体" w:hAnsi="宋体"/>
          <w:sz w:val="24"/>
        </w:rPr>
        <w:t>5.4招标时间：</w:t>
      </w:r>
      <w:r>
        <w:rPr>
          <w:rFonts w:ascii="宋体" w:hAnsi="宋体"/>
          <w:sz w:val="24"/>
        </w:rPr>
        <w:t>20</w:t>
      </w:r>
      <w:r>
        <w:rPr>
          <w:rFonts w:hint="eastAsia" w:ascii="宋体" w:hAnsi="宋体"/>
          <w:sz w:val="24"/>
        </w:rPr>
        <w:t>23年2月9日</w:t>
      </w:r>
    </w:p>
    <w:p>
      <w:pPr>
        <w:spacing w:line="440" w:lineRule="exact"/>
        <w:ind w:firstLine="480" w:firstLineChars="200"/>
        <w:jc w:val="left"/>
        <w:rPr>
          <w:rFonts w:ascii="宋体" w:hAnsi="宋体"/>
          <w:sz w:val="24"/>
        </w:rPr>
      </w:pPr>
      <w:r>
        <w:rPr>
          <w:rFonts w:hint="eastAsia" w:ascii="宋体" w:hAnsi="宋体"/>
          <w:sz w:val="24"/>
        </w:rPr>
        <w:t>5.5投标资格：经招标方资质审核通过且全额缴纳投标保证金的投标单位可对意向标的进行报价。</w:t>
      </w:r>
    </w:p>
    <w:p>
      <w:pPr>
        <w:spacing w:line="440" w:lineRule="exact"/>
        <w:ind w:firstLine="480" w:firstLineChars="200"/>
        <w:jc w:val="left"/>
        <w:rPr>
          <w:rFonts w:ascii="宋体" w:hAnsi="宋体"/>
          <w:color w:val="000000"/>
          <w:sz w:val="24"/>
        </w:rPr>
      </w:pPr>
      <w:r>
        <w:rPr>
          <w:rFonts w:hint="eastAsia" w:ascii="宋体" w:hAnsi="宋体"/>
          <w:color w:val="000000"/>
          <w:sz w:val="24"/>
        </w:rPr>
        <w:t>5.6评标标准：标的综合报价最低（优先）、供应商服务能力、车辆资源等综合评比。</w:t>
      </w:r>
    </w:p>
    <w:p>
      <w:pPr>
        <w:spacing w:line="440" w:lineRule="exact"/>
        <w:ind w:firstLine="480" w:firstLineChars="200"/>
        <w:jc w:val="left"/>
        <w:rPr>
          <w:rFonts w:ascii="宋体" w:hAnsi="宋体"/>
          <w:sz w:val="24"/>
        </w:rPr>
      </w:pPr>
      <w:r>
        <w:rPr>
          <w:rFonts w:hint="eastAsia" w:ascii="宋体" w:hAnsi="宋体"/>
          <w:color w:val="000000"/>
          <w:sz w:val="24"/>
        </w:rPr>
        <w:t>5.7</w:t>
      </w:r>
      <w:r>
        <w:rPr>
          <w:rFonts w:hint="eastAsia" w:ascii="宋体" w:hAnsi="宋体"/>
          <w:sz w:val="24"/>
        </w:rPr>
        <w:t>产品规格：</w:t>
      </w:r>
    </w:p>
    <w:p>
      <w:pPr>
        <w:spacing w:line="440" w:lineRule="exact"/>
        <w:ind w:firstLine="480" w:firstLineChars="200"/>
        <w:jc w:val="left"/>
        <w:rPr>
          <w:rFonts w:ascii="宋体" w:hAnsi="宋体"/>
          <w:sz w:val="24"/>
        </w:rPr>
      </w:pPr>
      <w:r>
        <w:rPr>
          <w:rFonts w:hint="eastAsia" w:ascii="宋体" w:hAnsi="宋体"/>
          <w:sz w:val="24"/>
        </w:rPr>
        <w:t>吨袋、小袋</w:t>
      </w:r>
    </w:p>
    <w:p>
      <w:pPr>
        <w:snapToGrid w:val="0"/>
        <w:spacing w:line="440" w:lineRule="exact"/>
        <w:ind w:firstLine="480" w:firstLineChars="200"/>
        <w:jc w:val="left"/>
        <w:rPr>
          <w:rFonts w:ascii="宋体" w:hAnsi="宋体"/>
          <w:sz w:val="24"/>
        </w:rPr>
      </w:pPr>
      <w:r>
        <w:rPr>
          <w:rFonts w:hint="eastAsia" w:ascii="宋体" w:hAnsi="宋体"/>
          <w:sz w:val="24"/>
        </w:rPr>
        <w:t>备注：包含但不限于以上规格，以实际采购为准。</w:t>
      </w:r>
    </w:p>
    <w:p>
      <w:pPr>
        <w:spacing w:line="500" w:lineRule="exact"/>
        <w:jc w:val="left"/>
        <w:rPr>
          <w:rFonts w:ascii="宋体" w:hAnsi="宋体"/>
          <w:b/>
          <w:sz w:val="24"/>
        </w:rPr>
      </w:pPr>
      <w:r>
        <w:rPr>
          <w:rFonts w:hint="eastAsia" w:ascii="宋体" w:hAnsi="宋体"/>
          <w:b/>
          <w:sz w:val="24"/>
        </w:rPr>
        <w:t>六、招标方式</w:t>
      </w:r>
    </w:p>
    <w:p>
      <w:pPr>
        <w:spacing w:line="500" w:lineRule="exact"/>
        <w:ind w:firstLine="480" w:firstLineChars="200"/>
        <w:jc w:val="left"/>
        <w:rPr>
          <w:rFonts w:hint="eastAsia" w:ascii="宋体" w:hAnsi="宋体"/>
          <w:color w:val="000000"/>
          <w:sz w:val="24"/>
        </w:rPr>
      </w:pPr>
      <w:r>
        <w:rPr>
          <w:rFonts w:hint="eastAsia" w:ascii="宋体" w:hAnsi="宋体"/>
          <w:color w:val="000000"/>
          <w:sz w:val="24"/>
        </w:rPr>
        <w:t>此次招标采用宁夏伊品SRM系统线上招标，招标网址：</w:t>
      </w:r>
    </w:p>
    <w:p>
      <w:pPr>
        <w:spacing w:line="500" w:lineRule="exact"/>
        <w:ind w:firstLine="480" w:firstLineChars="200"/>
        <w:jc w:val="left"/>
        <w:rPr>
          <w:rFonts w:ascii="宋体" w:hAnsi="宋体"/>
          <w:color w:val="000000"/>
          <w:sz w:val="24"/>
        </w:rPr>
      </w:pPr>
      <w:r>
        <w:rPr>
          <w:rFonts w:hint="eastAsia" w:ascii="宋体" w:hAnsi="宋体"/>
          <w:color w:val="000000"/>
          <w:sz w:val="24"/>
        </w:rPr>
        <w:t>https://eppen.going-link.com/，系统注册操作手册同招标文件一同发放。</w:t>
      </w:r>
    </w:p>
    <w:p>
      <w:pPr>
        <w:spacing w:line="500" w:lineRule="exact"/>
        <w:jc w:val="left"/>
        <w:rPr>
          <w:rFonts w:ascii="宋体" w:hAnsi="宋体"/>
          <w:b/>
          <w:sz w:val="24"/>
        </w:rPr>
      </w:pPr>
      <w:r>
        <w:rPr>
          <w:rFonts w:hint="eastAsia" w:ascii="宋体" w:hAnsi="宋体"/>
          <w:b/>
          <w:sz w:val="24"/>
        </w:rPr>
        <w:t>七、结算方式</w:t>
      </w:r>
    </w:p>
    <w:p>
      <w:pPr>
        <w:spacing w:line="440" w:lineRule="exact"/>
        <w:rPr>
          <w:rFonts w:ascii="宋体" w:hAnsi="宋体"/>
          <w:sz w:val="24"/>
        </w:rPr>
      </w:pPr>
      <w:r>
        <w:rPr>
          <w:rFonts w:hint="eastAsia" w:ascii="宋体" w:hAnsi="宋体"/>
          <w:sz w:val="24"/>
        </w:rPr>
        <w:t xml:space="preserve">    月结：每月5号之前将上月客户签收单、对账单、发票等结算资料邮寄至宁夏伊品生物科技股份有限公司总部，待业务员核对无误后由财务共享中心挂账，挂账后</w:t>
      </w:r>
      <w:r>
        <w:rPr>
          <w:rFonts w:hint="eastAsia" w:ascii="宋体" w:hAnsi="宋体"/>
          <w:b/>
          <w:bCs/>
          <w:color w:val="FF0000"/>
          <w:sz w:val="24"/>
          <w:u w:val="single"/>
        </w:rPr>
        <w:t>15</w:t>
      </w:r>
      <w:r>
        <w:rPr>
          <w:rFonts w:hint="eastAsia" w:ascii="宋体" w:hAnsi="宋体"/>
          <w:sz w:val="24"/>
        </w:rPr>
        <w:t>天付款；支付方式：电汇支付。</w:t>
      </w:r>
    </w:p>
    <w:p>
      <w:pPr>
        <w:spacing w:line="500" w:lineRule="exact"/>
        <w:jc w:val="left"/>
        <w:rPr>
          <w:rFonts w:ascii="宋体" w:hAnsi="宋体"/>
          <w:b/>
          <w:sz w:val="24"/>
        </w:rPr>
      </w:pPr>
      <w:r>
        <w:rPr>
          <w:rFonts w:hint="eastAsia" w:ascii="宋体" w:hAnsi="宋体"/>
          <w:b/>
          <w:sz w:val="24"/>
        </w:rPr>
        <w:t>八、发放招标文件时间、地点</w:t>
      </w:r>
    </w:p>
    <w:p>
      <w:pPr>
        <w:spacing w:line="440" w:lineRule="exact"/>
        <w:ind w:firstLine="480" w:firstLineChars="200"/>
        <w:rPr>
          <w:rFonts w:ascii="宋体" w:hAnsi="宋体"/>
          <w:sz w:val="24"/>
        </w:rPr>
      </w:pPr>
      <w:r>
        <w:rPr>
          <w:rFonts w:hint="eastAsia" w:ascii="宋体" w:hAnsi="宋体"/>
          <w:color w:val="000000"/>
          <w:sz w:val="24"/>
        </w:rPr>
        <w:t>时间：</w:t>
      </w:r>
      <w:r>
        <w:rPr>
          <w:rFonts w:hint="eastAsia" w:ascii="宋体" w:hAnsi="宋体"/>
          <w:color w:val="FF0000"/>
          <w:sz w:val="24"/>
          <w:u w:val="single"/>
        </w:rPr>
        <w:t>2022</w:t>
      </w:r>
      <w:r>
        <w:rPr>
          <w:rFonts w:hint="eastAsia" w:ascii="宋体" w:hAnsi="宋体"/>
          <w:sz w:val="24"/>
        </w:rPr>
        <w:t>年</w:t>
      </w:r>
      <w:r>
        <w:rPr>
          <w:rFonts w:hint="eastAsia" w:ascii="宋体" w:hAnsi="宋体"/>
          <w:color w:val="FF0000"/>
          <w:sz w:val="24"/>
          <w:u w:val="single"/>
        </w:rPr>
        <w:t>1</w:t>
      </w:r>
      <w:r>
        <w:rPr>
          <w:rFonts w:hint="eastAsia" w:ascii="宋体" w:hAnsi="宋体"/>
          <w:sz w:val="24"/>
        </w:rPr>
        <w:t>月</w:t>
      </w:r>
      <w:r>
        <w:rPr>
          <w:rFonts w:hint="eastAsia" w:ascii="宋体" w:hAnsi="宋体"/>
          <w:color w:val="FF0000"/>
          <w:sz w:val="24"/>
          <w:u w:val="single"/>
        </w:rPr>
        <w:t>29</w:t>
      </w:r>
      <w:r>
        <w:rPr>
          <w:rFonts w:hint="eastAsia" w:ascii="宋体" w:hAnsi="宋体"/>
          <w:sz w:val="24"/>
        </w:rPr>
        <w:t>日----</w:t>
      </w:r>
      <w:r>
        <w:rPr>
          <w:rFonts w:hint="eastAsia" w:ascii="宋体" w:hAnsi="宋体"/>
          <w:color w:val="FF0000"/>
          <w:sz w:val="24"/>
          <w:u w:val="single"/>
        </w:rPr>
        <w:t>2023</w:t>
      </w:r>
      <w:r>
        <w:rPr>
          <w:rFonts w:hint="eastAsia" w:ascii="宋体" w:hAnsi="宋体"/>
          <w:sz w:val="24"/>
        </w:rPr>
        <w:t>年</w:t>
      </w:r>
      <w:r>
        <w:rPr>
          <w:rFonts w:hint="eastAsia" w:ascii="宋体" w:hAnsi="宋体"/>
          <w:color w:val="FF0000"/>
          <w:sz w:val="24"/>
          <w:u w:val="single"/>
        </w:rPr>
        <w:t>2</w:t>
      </w:r>
      <w:r>
        <w:rPr>
          <w:rFonts w:hint="eastAsia" w:ascii="宋体" w:hAnsi="宋体"/>
          <w:sz w:val="24"/>
        </w:rPr>
        <w:t>月</w:t>
      </w:r>
      <w:r>
        <w:rPr>
          <w:rFonts w:hint="eastAsia" w:ascii="宋体" w:hAnsi="宋体"/>
          <w:color w:val="FF0000"/>
          <w:sz w:val="24"/>
          <w:u w:val="single"/>
        </w:rPr>
        <w:t>8</w:t>
      </w:r>
      <w:r>
        <w:rPr>
          <w:rFonts w:hint="eastAsia" w:ascii="宋体" w:hAnsi="宋体"/>
          <w:sz w:val="24"/>
        </w:rPr>
        <w:t>日</w:t>
      </w:r>
    </w:p>
    <w:p>
      <w:pPr>
        <w:spacing w:line="440" w:lineRule="exact"/>
        <w:ind w:firstLine="480" w:firstLineChars="200"/>
        <w:rPr>
          <w:rFonts w:ascii="宋体" w:hAnsi="宋体"/>
          <w:sz w:val="24"/>
        </w:rPr>
      </w:pPr>
      <w:r>
        <w:rPr>
          <w:rFonts w:hint="eastAsia" w:ascii="宋体" w:hAnsi="宋体"/>
          <w:sz w:val="24"/>
        </w:rPr>
        <w:t>报名截止时间：</w:t>
      </w:r>
      <w:r>
        <w:rPr>
          <w:rFonts w:hint="eastAsia" w:ascii="宋体" w:hAnsi="宋体"/>
          <w:color w:val="FF0000"/>
          <w:sz w:val="24"/>
          <w:u w:val="single"/>
        </w:rPr>
        <w:t>2023</w:t>
      </w:r>
      <w:r>
        <w:rPr>
          <w:rFonts w:hint="eastAsia" w:ascii="宋体" w:hAnsi="宋体"/>
          <w:sz w:val="24"/>
        </w:rPr>
        <w:t>年</w:t>
      </w:r>
      <w:r>
        <w:rPr>
          <w:rFonts w:hint="eastAsia" w:ascii="宋体" w:hAnsi="宋体"/>
          <w:color w:val="FF0000"/>
          <w:sz w:val="24"/>
          <w:u w:val="single"/>
        </w:rPr>
        <w:t>2</w:t>
      </w:r>
      <w:r>
        <w:rPr>
          <w:rFonts w:hint="eastAsia" w:ascii="宋体" w:hAnsi="宋体"/>
          <w:sz w:val="24"/>
        </w:rPr>
        <w:t>月</w:t>
      </w:r>
      <w:r>
        <w:rPr>
          <w:rFonts w:hint="eastAsia" w:ascii="宋体" w:hAnsi="宋体"/>
          <w:color w:val="FF0000"/>
          <w:sz w:val="24"/>
          <w:u w:val="single"/>
        </w:rPr>
        <w:t>8</w:t>
      </w:r>
      <w:r>
        <w:rPr>
          <w:rFonts w:hint="eastAsia" w:ascii="宋体" w:hAnsi="宋体"/>
          <w:sz w:val="24"/>
        </w:rPr>
        <w:t>日</w:t>
      </w:r>
    </w:p>
    <w:p>
      <w:pPr>
        <w:spacing w:line="440" w:lineRule="exact"/>
        <w:ind w:firstLine="480" w:firstLineChars="200"/>
        <w:rPr>
          <w:rFonts w:ascii="宋体" w:hAnsi="宋体"/>
          <w:color w:val="FF0000"/>
          <w:sz w:val="24"/>
        </w:rPr>
      </w:pPr>
      <w:r>
        <w:rPr>
          <w:rFonts w:hint="eastAsia" w:ascii="宋体" w:hAnsi="宋体"/>
          <w:color w:val="000000"/>
          <w:sz w:val="24"/>
        </w:rPr>
        <w:t>地点：</w:t>
      </w:r>
      <w:r>
        <w:rPr>
          <w:rFonts w:hint="eastAsia" w:ascii="宋体" w:hAnsi="宋体"/>
          <w:color w:val="FF0000"/>
          <w:sz w:val="24"/>
        </w:rPr>
        <w:t>线上</w:t>
      </w:r>
    </w:p>
    <w:p>
      <w:pPr>
        <w:spacing w:line="440" w:lineRule="exact"/>
        <w:ind w:firstLine="480" w:firstLineChars="200"/>
        <w:rPr>
          <w:rFonts w:ascii="宋体" w:hAnsi="宋体"/>
          <w:color w:val="FF0000"/>
          <w:sz w:val="24"/>
        </w:rPr>
      </w:pPr>
      <w:r>
        <w:rPr>
          <w:rFonts w:hint="eastAsia" w:ascii="宋体" w:hAnsi="宋体"/>
          <w:sz w:val="24"/>
        </w:rPr>
        <w:t>要求：</w:t>
      </w:r>
      <w:r>
        <w:rPr>
          <w:rFonts w:hint="eastAsia" w:ascii="宋体" w:hAnsi="宋体"/>
          <w:color w:val="FF0000"/>
          <w:sz w:val="24"/>
        </w:rPr>
        <w:t>投标文件（盖章版）按顺序整理为一个PDF文件发送至报名邮箱，如不按照要求发送投标文件，视为报名资格预审不通过，无法参与投标；所提供材料保证真实性，如若发现提供虚假报名材料，视为报名资格预审不通过，无法参与投标。投标文件按要求发送至指定资料接收邮箱。</w:t>
      </w:r>
    </w:p>
    <w:p>
      <w:pPr>
        <w:spacing w:line="500" w:lineRule="exact"/>
        <w:jc w:val="left"/>
        <w:rPr>
          <w:rFonts w:ascii="宋体" w:hAnsi="宋体"/>
          <w:b/>
          <w:sz w:val="24"/>
        </w:rPr>
      </w:pPr>
      <w:r>
        <w:rPr>
          <w:rFonts w:hint="eastAsia" w:ascii="宋体" w:hAnsi="宋体"/>
          <w:b/>
          <w:sz w:val="24"/>
        </w:rPr>
        <w:t>九、</w:t>
      </w:r>
      <w:r>
        <w:rPr>
          <w:rFonts w:ascii="宋体" w:hAnsi="宋体"/>
          <w:b/>
          <w:sz w:val="24"/>
        </w:rPr>
        <w:t>公告发送方式</w:t>
      </w:r>
    </w:p>
    <w:p>
      <w:pPr>
        <w:spacing w:line="440" w:lineRule="exact"/>
        <w:ind w:firstLine="480" w:firstLineChars="200"/>
        <w:rPr>
          <w:rFonts w:ascii="宋体" w:hAnsi="宋体"/>
          <w:bCs/>
          <w:color w:val="000000"/>
          <w:sz w:val="24"/>
        </w:rPr>
      </w:pPr>
      <w:r>
        <w:rPr>
          <w:rFonts w:hint="eastAsia" w:ascii="宋体" w:hAnsi="宋体"/>
          <w:bCs/>
          <w:color w:val="000000"/>
          <w:sz w:val="24"/>
        </w:rPr>
        <w:t>中国</w:t>
      </w:r>
      <w:r>
        <w:rPr>
          <w:rFonts w:ascii="宋体" w:hAnsi="宋体"/>
          <w:bCs/>
          <w:color w:val="000000"/>
          <w:sz w:val="24"/>
        </w:rPr>
        <w:t>物流招标网</w:t>
      </w:r>
      <w:r>
        <w:rPr>
          <w:rFonts w:hint="eastAsia" w:ascii="宋体" w:hAnsi="宋体"/>
          <w:bCs/>
          <w:color w:val="000000"/>
          <w:sz w:val="24"/>
        </w:rPr>
        <w:t>、交通运输采招网、必德物流招标网、</w:t>
      </w:r>
      <w:r>
        <w:rPr>
          <w:rFonts w:ascii="宋体" w:hAnsi="宋体"/>
          <w:bCs/>
          <w:color w:val="000000"/>
          <w:sz w:val="24"/>
        </w:rPr>
        <w:t>微信</w:t>
      </w:r>
      <w:r>
        <w:rPr>
          <w:rFonts w:hint="eastAsia" w:ascii="宋体" w:hAnsi="宋体"/>
          <w:bCs/>
          <w:color w:val="000000"/>
          <w:sz w:val="24"/>
        </w:rPr>
        <w:t>（包括但不限于以上方式）。</w:t>
      </w:r>
    </w:p>
    <w:p>
      <w:pPr>
        <w:spacing w:line="500" w:lineRule="exact"/>
        <w:jc w:val="left"/>
        <w:rPr>
          <w:rFonts w:ascii="宋体" w:hAnsi="宋体"/>
          <w:b/>
          <w:sz w:val="24"/>
        </w:rPr>
      </w:pPr>
      <w:r>
        <w:rPr>
          <w:rFonts w:hint="eastAsia" w:ascii="宋体" w:hAnsi="宋体"/>
          <w:b/>
          <w:sz w:val="24"/>
        </w:rPr>
        <w:t>十、招标文件费用</w:t>
      </w:r>
    </w:p>
    <w:p>
      <w:pPr>
        <w:spacing w:line="440" w:lineRule="exact"/>
        <w:ind w:firstLine="480" w:firstLineChars="200"/>
        <w:rPr>
          <w:rFonts w:ascii="宋体" w:hAnsi="宋体"/>
          <w:color w:val="000000"/>
          <w:szCs w:val="21"/>
        </w:rPr>
      </w:pPr>
      <w:r>
        <w:rPr>
          <w:rFonts w:hint="eastAsia" w:ascii="宋体" w:hAnsi="宋体"/>
          <w:color w:val="000000"/>
          <w:sz w:val="24"/>
        </w:rPr>
        <w:t>此次招标相关文件均免费发放。</w:t>
      </w:r>
    </w:p>
    <w:p>
      <w:pPr>
        <w:spacing w:line="500" w:lineRule="exact"/>
        <w:jc w:val="left"/>
        <w:rPr>
          <w:rFonts w:ascii="宋体" w:hAnsi="宋体"/>
          <w:b/>
          <w:sz w:val="24"/>
        </w:rPr>
      </w:pPr>
      <w:r>
        <w:rPr>
          <w:rFonts w:hint="eastAsia" w:ascii="宋体" w:hAnsi="宋体"/>
          <w:b/>
          <w:sz w:val="24"/>
        </w:rPr>
        <w:t>十一、投标保证金</w:t>
      </w:r>
    </w:p>
    <w:p>
      <w:pPr>
        <w:spacing w:line="440" w:lineRule="exact"/>
        <w:ind w:firstLine="480" w:firstLineChars="200"/>
        <w:rPr>
          <w:rFonts w:ascii="宋体" w:hAnsi="宋体"/>
          <w:color w:val="FF0000"/>
          <w:sz w:val="24"/>
          <w:u w:val="single"/>
        </w:rPr>
      </w:pPr>
      <w:r>
        <w:rPr>
          <w:rFonts w:hint="eastAsia" w:ascii="宋体" w:hAnsi="宋体"/>
          <w:color w:val="000000"/>
          <w:sz w:val="24"/>
        </w:rPr>
        <w:t>投标保证金人民币：</w:t>
      </w:r>
      <w:r>
        <w:rPr>
          <w:rFonts w:hint="eastAsia" w:ascii="宋体" w:hAnsi="宋体"/>
          <w:color w:val="FF0000"/>
          <w:sz w:val="24"/>
          <w:u w:val="single"/>
        </w:rPr>
        <w:t>伍万元/标的</w:t>
      </w:r>
    </w:p>
    <w:p>
      <w:pPr>
        <w:spacing w:line="440" w:lineRule="exact"/>
        <w:ind w:firstLine="480" w:firstLineChars="200"/>
        <w:rPr>
          <w:rFonts w:ascii="宋体" w:hAnsi="宋体"/>
          <w:color w:val="000000"/>
          <w:sz w:val="24"/>
        </w:rPr>
      </w:pPr>
      <w:r>
        <w:rPr>
          <w:rFonts w:hint="eastAsia" w:ascii="宋体" w:hAnsi="宋体"/>
          <w:color w:val="000000"/>
          <w:sz w:val="24"/>
        </w:rPr>
        <w:t>1、投标保证金为投标文件的组成部分之一，投标保证金应以电汇形式于</w:t>
      </w:r>
      <w:r>
        <w:rPr>
          <w:rFonts w:hint="eastAsia" w:ascii="宋体" w:hAnsi="宋体"/>
          <w:color w:val="FF0000"/>
          <w:sz w:val="24"/>
        </w:rPr>
        <w:t>2023</w:t>
      </w:r>
      <w:r>
        <w:rPr>
          <w:rFonts w:ascii="宋体" w:hAnsi="宋体"/>
          <w:color w:val="FF0000"/>
          <w:sz w:val="24"/>
        </w:rPr>
        <w:t>年</w:t>
      </w:r>
      <w:r>
        <w:rPr>
          <w:rFonts w:hint="eastAsia" w:ascii="宋体" w:hAnsi="宋体"/>
          <w:color w:val="FF0000"/>
          <w:sz w:val="24"/>
        </w:rPr>
        <w:t>2</w:t>
      </w:r>
      <w:r>
        <w:rPr>
          <w:rFonts w:ascii="宋体" w:hAnsi="宋体"/>
          <w:color w:val="FF0000"/>
          <w:sz w:val="24"/>
        </w:rPr>
        <w:t>月</w:t>
      </w:r>
      <w:r>
        <w:rPr>
          <w:rFonts w:hint="eastAsia" w:ascii="宋体" w:hAnsi="宋体"/>
          <w:color w:val="FF0000"/>
          <w:sz w:val="24"/>
        </w:rPr>
        <w:t>8</w:t>
      </w:r>
      <w:r>
        <w:rPr>
          <w:rFonts w:ascii="宋体" w:hAnsi="宋体"/>
          <w:color w:val="FF0000"/>
          <w:sz w:val="24"/>
        </w:rPr>
        <w:t>日</w:t>
      </w:r>
      <w:r>
        <w:rPr>
          <w:rFonts w:hint="eastAsia" w:ascii="宋体" w:hAnsi="宋体"/>
          <w:color w:val="FF0000"/>
          <w:sz w:val="24"/>
        </w:rPr>
        <w:t>12:00</w:t>
      </w:r>
      <w:r>
        <w:rPr>
          <w:rFonts w:ascii="宋体" w:hAnsi="宋体"/>
          <w:color w:val="000000"/>
          <w:sz w:val="24"/>
        </w:rPr>
        <w:t>前缴纳完毕</w:t>
      </w:r>
      <w:r>
        <w:rPr>
          <w:rFonts w:hint="eastAsia" w:ascii="宋体" w:hAnsi="宋体"/>
          <w:color w:val="000000"/>
          <w:sz w:val="24"/>
        </w:rPr>
        <w:t>，</w:t>
      </w:r>
      <w:r>
        <w:rPr>
          <w:rFonts w:ascii="宋体" w:hAnsi="宋体"/>
          <w:b/>
          <w:color w:val="000000"/>
          <w:sz w:val="24"/>
        </w:rPr>
        <w:t>汇款时注明</w:t>
      </w:r>
      <w:r>
        <w:rPr>
          <w:rFonts w:hint="eastAsia" w:ascii="宋体" w:hAnsi="宋体"/>
          <w:b/>
          <w:color w:val="000000"/>
          <w:sz w:val="24"/>
        </w:rPr>
        <w:t>“</w:t>
      </w:r>
      <w:r>
        <w:rPr>
          <w:rFonts w:ascii="宋体" w:hAnsi="宋体"/>
          <w:b/>
          <w:color w:val="000000"/>
          <w:sz w:val="24"/>
        </w:rPr>
        <w:t>**</w:t>
      </w:r>
      <w:r>
        <w:rPr>
          <w:rFonts w:hint="eastAsia" w:ascii="宋体" w:hAnsi="宋体"/>
          <w:b/>
          <w:color w:val="000000"/>
          <w:sz w:val="24"/>
        </w:rPr>
        <w:t>公司伊品业务**标的投标保证金</w:t>
      </w:r>
      <w:r>
        <w:rPr>
          <w:rFonts w:hint="eastAsia" w:ascii="宋体" w:hAnsi="宋体"/>
          <w:color w:val="000000"/>
          <w:sz w:val="24"/>
        </w:rPr>
        <w:t>”，汇款完毕后投标人需提供正本付款水单扫描件给招标方（</w:t>
      </w:r>
      <w:r>
        <w:rPr>
          <w:rFonts w:hint="eastAsia" w:ascii="宋体" w:hAnsi="宋体"/>
          <w:sz w:val="24"/>
        </w:rPr>
        <w:t>保证金以基地缴纳，各基地公司、子公司一方收到保证金即可有效）</w:t>
      </w:r>
      <w:r>
        <w:rPr>
          <w:rFonts w:hint="eastAsia" w:ascii="宋体" w:hAnsi="宋体"/>
          <w:color w:val="000000"/>
          <w:sz w:val="24"/>
        </w:rPr>
        <w:t>，现合作承运商根据要求出具投标保证金证明（</w:t>
      </w:r>
      <w:r>
        <w:rPr>
          <w:rFonts w:hint="eastAsia" w:ascii="宋体" w:hAnsi="宋体"/>
          <w:sz w:val="24"/>
        </w:rPr>
        <w:t>报名成功后发放</w:t>
      </w:r>
      <w:r>
        <w:rPr>
          <w:rFonts w:hint="eastAsia" w:ascii="宋体" w:hAnsi="宋体"/>
          <w:color w:val="000000"/>
          <w:sz w:val="24"/>
        </w:rPr>
        <w:t>）。</w:t>
      </w:r>
    </w:p>
    <w:p>
      <w:pPr>
        <w:spacing w:line="440" w:lineRule="exact"/>
        <w:ind w:firstLine="480" w:firstLineChars="200"/>
        <w:rPr>
          <w:rFonts w:ascii="宋体" w:hAnsi="宋体"/>
          <w:color w:val="000000"/>
          <w:sz w:val="24"/>
        </w:rPr>
      </w:pPr>
      <w:r>
        <w:rPr>
          <w:rFonts w:hint="eastAsia" w:ascii="宋体" w:hAnsi="宋体"/>
          <w:color w:val="000000"/>
          <w:sz w:val="24"/>
        </w:rPr>
        <w:t>2、未按规定提交投标保证金的，不能参与投标。</w:t>
      </w:r>
    </w:p>
    <w:p>
      <w:pPr>
        <w:spacing w:line="440" w:lineRule="exact"/>
        <w:ind w:firstLine="480" w:firstLineChars="200"/>
        <w:rPr>
          <w:rFonts w:ascii="宋体" w:hAnsi="宋体"/>
          <w:color w:val="000000"/>
          <w:sz w:val="24"/>
        </w:rPr>
      </w:pPr>
      <w:r>
        <w:rPr>
          <w:rFonts w:ascii="宋体" w:hAnsi="宋体"/>
          <w:color w:val="000000"/>
          <w:sz w:val="24"/>
        </w:rPr>
        <w:t>3</w:t>
      </w:r>
      <w:r>
        <w:rPr>
          <w:rFonts w:hint="eastAsia" w:ascii="宋体" w:hAnsi="宋体"/>
          <w:color w:val="000000"/>
          <w:sz w:val="24"/>
        </w:rPr>
        <w:t>、</w:t>
      </w:r>
      <w:r>
        <w:rPr>
          <w:rFonts w:ascii="宋体" w:hAnsi="宋体"/>
          <w:color w:val="000000"/>
          <w:sz w:val="24"/>
        </w:rPr>
        <w:t>未中标的投标人的投标保证金</w:t>
      </w:r>
      <w:r>
        <w:rPr>
          <w:rFonts w:hint="eastAsia" w:ascii="宋体" w:hAnsi="宋体"/>
          <w:color w:val="000000"/>
          <w:sz w:val="24"/>
        </w:rPr>
        <w:t>，</w:t>
      </w:r>
      <w:r>
        <w:rPr>
          <w:rFonts w:ascii="宋体" w:hAnsi="宋体"/>
          <w:color w:val="000000"/>
          <w:sz w:val="24"/>
        </w:rPr>
        <w:t>将在宣布中标结果后</w:t>
      </w:r>
      <w:r>
        <w:rPr>
          <w:rFonts w:hint="eastAsia" w:ascii="宋体" w:hAnsi="宋体"/>
          <w:color w:val="000000"/>
          <w:sz w:val="24"/>
        </w:rPr>
        <w:t>30</w:t>
      </w:r>
      <w:r>
        <w:rPr>
          <w:rFonts w:ascii="宋体" w:hAnsi="宋体"/>
          <w:color w:val="000000"/>
          <w:sz w:val="24"/>
        </w:rPr>
        <w:t>个工作日内无息退还</w:t>
      </w:r>
      <w:r>
        <w:rPr>
          <w:rFonts w:hint="eastAsia" w:ascii="宋体" w:hAnsi="宋体"/>
          <w:color w:val="000000"/>
          <w:sz w:val="24"/>
        </w:rPr>
        <w:t>。</w:t>
      </w:r>
    </w:p>
    <w:p>
      <w:pPr>
        <w:spacing w:line="440" w:lineRule="exact"/>
        <w:ind w:firstLine="480" w:firstLineChars="200"/>
        <w:rPr>
          <w:rFonts w:ascii="宋体" w:hAnsi="宋体"/>
          <w:color w:val="000000"/>
          <w:sz w:val="24"/>
        </w:rPr>
      </w:pPr>
      <w:r>
        <w:rPr>
          <w:rFonts w:ascii="宋体" w:hAnsi="宋体"/>
          <w:color w:val="000000"/>
          <w:sz w:val="24"/>
        </w:rPr>
        <w:t>4</w:t>
      </w:r>
      <w:r>
        <w:rPr>
          <w:rFonts w:hint="eastAsia" w:ascii="宋体" w:hAnsi="宋体"/>
          <w:color w:val="000000"/>
          <w:sz w:val="24"/>
        </w:rPr>
        <w:t>、投标单位如参加2个以上标的或标段的投标，中标1个及以上标的或标段的，该投标单位未中标标的及中标标的的投标保证金，自动转化为中标标的合同履约保证金，多退少补。</w:t>
      </w:r>
    </w:p>
    <w:p>
      <w:pPr>
        <w:spacing w:line="440" w:lineRule="exact"/>
        <w:ind w:firstLine="480" w:firstLineChars="200"/>
        <w:rPr>
          <w:rFonts w:ascii="宋体" w:hAnsi="宋体"/>
          <w:color w:val="000000"/>
          <w:sz w:val="24"/>
        </w:rPr>
      </w:pPr>
      <w:r>
        <w:rPr>
          <w:rFonts w:ascii="宋体" w:hAnsi="宋体"/>
          <w:color w:val="000000"/>
          <w:sz w:val="24"/>
        </w:rPr>
        <w:t>5</w:t>
      </w:r>
      <w:r>
        <w:rPr>
          <w:rFonts w:hint="eastAsia" w:ascii="宋体" w:hAnsi="宋体"/>
          <w:color w:val="000000"/>
          <w:sz w:val="24"/>
        </w:rPr>
        <w:t>、</w:t>
      </w:r>
      <w:r>
        <w:rPr>
          <w:rFonts w:ascii="宋体" w:hAnsi="宋体"/>
          <w:color w:val="000000"/>
          <w:sz w:val="24"/>
        </w:rPr>
        <w:t>中标后</w:t>
      </w:r>
      <w:r>
        <w:rPr>
          <w:rFonts w:hint="eastAsia" w:ascii="宋体" w:hAnsi="宋体"/>
          <w:color w:val="000000"/>
          <w:sz w:val="24"/>
        </w:rPr>
        <w:t>承运商需严格执行伊品物流部的考核制度，因中标单位原因不能正常运营业务，发生的一切损失从履约保证金中扣除，不足部分从运费中扣除，招标方保留进一步追究损失的权利。</w:t>
      </w:r>
    </w:p>
    <w:p>
      <w:pPr>
        <w:snapToGrid w:val="0"/>
        <w:spacing w:line="440" w:lineRule="exact"/>
        <w:ind w:firstLine="480" w:firstLineChars="200"/>
        <w:jc w:val="left"/>
        <w:rPr>
          <w:rFonts w:ascii="宋体" w:hAnsi="宋体"/>
          <w:sz w:val="24"/>
        </w:rPr>
      </w:pPr>
      <w:r>
        <w:rPr>
          <w:rFonts w:hint="eastAsia" w:ascii="宋体" w:hAnsi="宋体"/>
          <w:color w:val="000000"/>
          <w:sz w:val="24"/>
        </w:rPr>
        <w:t>6、</w:t>
      </w:r>
      <w:r>
        <w:rPr>
          <w:rFonts w:hint="eastAsia" w:ascii="宋体" w:hAnsi="宋体"/>
          <w:sz w:val="24"/>
        </w:rPr>
        <w:t>在参与竞价时投标单位与招标方存着存续运输合同且有未结款项并且款项大于拟投标保证金（保证金以基地缴纳，各基地公司、子公司一方收到保证金即可有效），只需书面出具《投标保证金证明函》（报名成功后发放）同意将对应金额的未结运费转为投标保证金。</w:t>
      </w:r>
    </w:p>
    <w:p>
      <w:pPr>
        <w:spacing w:line="500" w:lineRule="exact"/>
        <w:jc w:val="left"/>
        <w:rPr>
          <w:rFonts w:ascii="宋体" w:hAnsi="宋体"/>
          <w:b/>
          <w:sz w:val="24"/>
        </w:rPr>
      </w:pPr>
      <w:r>
        <w:rPr>
          <w:rFonts w:hint="eastAsia" w:ascii="宋体" w:hAnsi="宋体"/>
          <w:b/>
          <w:sz w:val="24"/>
        </w:rPr>
        <w:t>十二、合同履约保证金</w:t>
      </w:r>
    </w:p>
    <w:p>
      <w:pPr>
        <w:spacing w:line="440" w:lineRule="exact"/>
        <w:ind w:left="479" w:leftChars="228"/>
        <w:rPr>
          <w:rFonts w:ascii="宋体" w:hAnsi="宋体"/>
          <w:color w:val="000000"/>
          <w:sz w:val="24"/>
        </w:rPr>
      </w:pPr>
      <w:r>
        <w:rPr>
          <w:rFonts w:hint="eastAsia" w:ascii="宋体" w:hAnsi="宋体"/>
          <w:color w:val="000000"/>
          <w:sz w:val="24"/>
        </w:rPr>
        <w:t>合同履约保证金人民币：</w:t>
      </w:r>
      <w:r>
        <w:rPr>
          <w:rFonts w:hint="eastAsia" w:ascii="宋体" w:hAnsi="宋体"/>
          <w:color w:val="FF0000"/>
          <w:sz w:val="24"/>
        </w:rPr>
        <w:t>伍万元/标的</w:t>
      </w:r>
    </w:p>
    <w:p>
      <w:pPr>
        <w:spacing w:line="500" w:lineRule="exact"/>
        <w:jc w:val="left"/>
        <w:rPr>
          <w:rFonts w:ascii="宋体" w:hAnsi="宋体"/>
          <w:b/>
          <w:sz w:val="24"/>
        </w:rPr>
      </w:pPr>
      <w:r>
        <w:rPr>
          <w:rFonts w:hint="eastAsia" w:ascii="宋体" w:hAnsi="宋体"/>
          <w:b/>
          <w:sz w:val="24"/>
        </w:rPr>
        <w:t>十三、资料审核及招标时间</w:t>
      </w:r>
    </w:p>
    <w:p>
      <w:pPr>
        <w:spacing w:line="440" w:lineRule="exact"/>
        <w:ind w:firstLine="480" w:firstLineChars="200"/>
        <w:rPr>
          <w:rFonts w:ascii="宋体" w:hAnsi="宋体"/>
          <w:sz w:val="24"/>
        </w:rPr>
      </w:pPr>
      <w:r>
        <w:rPr>
          <w:rFonts w:hint="eastAsia" w:ascii="宋体" w:hAnsi="宋体"/>
          <w:sz w:val="24"/>
        </w:rPr>
        <w:t>投标方需将投标文件签字盖章扫描后通过邮件发送至指定邮箱，签字盖章版标书原件开标前邮寄至开标现场，并接受评标小组的审核。</w:t>
      </w:r>
    </w:p>
    <w:p>
      <w:pPr>
        <w:spacing w:line="440" w:lineRule="exact"/>
        <w:ind w:firstLine="470" w:firstLineChars="196"/>
        <w:rPr>
          <w:rFonts w:ascii="宋体" w:hAnsi="宋体"/>
          <w:sz w:val="24"/>
        </w:rPr>
      </w:pPr>
      <w:r>
        <w:rPr>
          <w:rFonts w:hint="eastAsia" w:ascii="宋体" w:hAnsi="宋体"/>
          <w:sz w:val="24"/>
        </w:rPr>
        <w:t>招标时间：</w:t>
      </w:r>
    </w:p>
    <w:p>
      <w:pPr>
        <w:spacing w:line="440" w:lineRule="exact"/>
        <w:ind w:firstLine="480" w:firstLineChars="200"/>
        <w:rPr>
          <w:rFonts w:ascii="宋体" w:hAnsi="宋体"/>
          <w:sz w:val="24"/>
        </w:rPr>
      </w:pPr>
      <w:r>
        <w:rPr>
          <w:rFonts w:hint="eastAsia" w:ascii="宋体" w:hAnsi="宋体"/>
          <w:color w:val="FF0000"/>
          <w:sz w:val="24"/>
        </w:rPr>
        <w:t>2023</w:t>
      </w:r>
      <w:r>
        <w:rPr>
          <w:rFonts w:hint="eastAsia" w:ascii="宋体" w:hAnsi="宋体"/>
          <w:sz w:val="24"/>
        </w:rPr>
        <w:t>年</w:t>
      </w:r>
      <w:r>
        <w:rPr>
          <w:rFonts w:hint="eastAsia" w:ascii="宋体" w:hAnsi="宋体"/>
          <w:color w:val="FF0000"/>
          <w:sz w:val="24"/>
        </w:rPr>
        <w:t>2</w:t>
      </w:r>
      <w:r>
        <w:rPr>
          <w:rFonts w:hint="eastAsia" w:ascii="宋体" w:hAnsi="宋体"/>
          <w:sz w:val="24"/>
        </w:rPr>
        <w:t>月</w:t>
      </w:r>
      <w:r>
        <w:rPr>
          <w:rFonts w:hint="eastAsia" w:ascii="宋体" w:hAnsi="宋体"/>
          <w:color w:val="FF0000"/>
          <w:sz w:val="24"/>
        </w:rPr>
        <w:t>9</w:t>
      </w:r>
      <w:r>
        <w:rPr>
          <w:rFonts w:hint="eastAsia" w:ascii="宋体" w:hAnsi="宋体"/>
          <w:sz w:val="24"/>
        </w:rPr>
        <w:t>日09：00-12：00</w:t>
      </w:r>
    </w:p>
    <w:p>
      <w:pPr>
        <w:numPr>
          <w:ilvl w:val="0"/>
          <w:numId w:val="2"/>
        </w:numPr>
        <w:spacing w:line="500" w:lineRule="exact"/>
        <w:jc w:val="left"/>
        <w:rPr>
          <w:rFonts w:ascii="宋体" w:hAnsi="宋体"/>
          <w:b/>
          <w:sz w:val="24"/>
        </w:rPr>
      </w:pPr>
      <w:r>
        <w:rPr>
          <w:rFonts w:hint="eastAsia" w:ascii="宋体" w:hAnsi="宋体"/>
          <w:b/>
          <w:sz w:val="24"/>
        </w:rPr>
        <w:t>投标说明会及开标地点：线上</w:t>
      </w:r>
    </w:p>
    <w:p>
      <w:pPr>
        <w:spacing w:line="500" w:lineRule="exact"/>
        <w:jc w:val="left"/>
        <w:rPr>
          <w:rFonts w:ascii="宋体" w:hAnsi="宋体"/>
          <w:b/>
          <w:sz w:val="24"/>
        </w:rPr>
      </w:pPr>
    </w:p>
    <w:p>
      <w:pPr>
        <w:spacing w:line="440" w:lineRule="exact"/>
        <w:ind w:right="960" w:firstLine="480" w:firstLineChars="200"/>
        <w:jc w:val="center"/>
        <w:rPr>
          <w:rFonts w:ascii="宋体" w:hAnsi="宋体"/>
          <w:color w:val="000000"/>
          <w:sz w:val="24"/>
        </w:rPr>
      </w:pPr>
      <w:r>
        <w:rPr>
          <w:rFonts w:hint="eastAsia" w:ascii="宋体" w:hAnsi="宋体"/>
          <w:color w:val="000000"/>
          <w:sz w:val="24"/>
        </w:rPr>
        <w:t xml:space="preserve">                                 报名联系人：</w:t>
      </w:r>
    </w:p>
    <w:p>
      <w:pPr>
        <w:spacing w:line="440" w:lineRule="exact"/>
        <w:ind w:firstLine="480" w:firstLineChars="200"/>
        <w:jc w:val="right"/>
        <w:rPr>
          <w:rFonts w:ascii="宋体" w:hAnsi="宋体"/>
          <w:color w:val="000000"/>
          <w:sz w:val="24"/>
        </w:rPr>
      </w:pPr>
      <w:r>
        <w:rPr>
          <w:rFonts w:hint="eastAsia" w:ascii="宋体" w:hAnsi="宋体"/>
          <w:color w:val="000000"/>
          <w:sz w:val="24"/>
        </w:rPr>
        <w:t xml:space="preserve">白女士  15647600103 </w:t>
      </w:r>
    </w:p>
    <w:p>
      <w:pPr>
        <w:spacing w:line="440" w:lineRule="exact"/>
        <w:ind w:firstLine="480" w:firstLineChars="200"/>
        <w:jc w:val="right"/>
        <w:rPr>
          <w:rFonts w:ascii="宋体" w:hAnsi="宋体"/>
          <w:color w:val="000000"/>
          <w:sz w:val="24"/>
        </w:rPr>
      </w:pPr>
      <w:r>
        <w:rPr>
          <w:rFonts w:hint="eastAsia" w:ascii="宋体" w:hAnsi="宋体"/>
          <w:color w:val="000000"/>
          <w:sz w:val="24"/>
        </w:rPr>
        <w:t>顾先生  19995242725</w:t>
      </w:r>
    </w:p>
    <w:p>
      <w:pPr>
        <w:spacing w:line="440" w:lineRule="exact"/>
        <w:ind w:firstLine="480" w:firstLineChars="200"/>
        <w:jc w:val="right"/>
        <w:rPr>
          <w:rFonts w:ascii="宋体" w:hAnsi="宋体"/>
          <w:sz w:val="24"/>
        </w:rPr>
      </w:pPr>
      <w:r>
        <w:rPr>
          <w:rFonts w:hint="eastAsia" w:ascii="宋体" w:hAnsi="宋体"/>
          <w:color w:val="000000"/>
          <w:sz w:val="24"/>
        </w:rPr>
        <w:t>报名资料接收邮箱：</w:t>
      </w:r>
      <w:r>
        <w:rPr>
          <w:rFonts w:ascii="宋体" w:hAnsi="宋体"/>
          <w:color w:val="000000"/>
          <w:sz w:val="24"/>
        </w:rPr>
        <w:t xml:space="preserve"> </w:t>
      </w:r>
      <w:r>
        <w:rPr>
          <w:rFonts w:hint="eastAsia" w:ascii="宋体" w:hAnsi="宋体"/>
          <w:sz w:val="24"/>
        </w:rPr>
        <w:t>baihesong@eppen.com.cn</w:t>
      </w:r>
    </w:p>
    <w:p>
      <w:pPr>
        <w:tabs>
          <w:tab w:val="left" w:pos="703"/>
        </w:tabs>
        <w:jc w:val="left"/>
      </w:pPr>
    </w:p>
    <w:p>
      <w:pPr>
        <w:pStyle w:val="3"/>
        <w:jc w:val="center"/>
        <w:rPr>
          <w:rFonts w:ascii="宋体" w:hAnsi="宋体"/>
          <w:b/>
          <w:sz w:val="36"/>
          <w:szCs w:val="36"/>
        </w:rPr>
      </w:pPr>
    </w:p>
    <w:p>
      <w:pPr>
        <w:pStyle w:val="3"/>
        <w:jc w:val="center"/>
        <w:rPr>
          <w:rFonts w:ascii="宋体" w:hAnsi="宋体"/>
          <w:b/>
          <w:sz w:val="36"/>
          <w:szCs w:val="36"/>
        </w:rPr>
      </w:pPr>
    </w:p>
    <w:p>
      <w:pPr>
        <w:pStyle w:val="3"/>
        <w:jc w:val="center"/>
        <w:rPr>
          <w:rFonts w:ascii="宋体" w:hAnsi="宋体"/>
          <w:b/>
          <w:sz w:val="36"/>
          <w:szCs w:val="36"/>
        </w:rPr>
      </w:pPr>
    </w:p>
    <w:sectPr>
      <w:headerReference r:id="rId3" w:type="default"/>
      <w:footerReference r:id="rId4" w:type="default"/>
      <w:pgSz w:w="11906" w:h="16838"/>
      <w:pgMar w:top="851" w:right="1304" w:bottom="567" w:left="1304"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0"/>
      </w:rPr>
    </w:pPr>
    <w:r>
      <w:fldChar w:fldCharType="begin"/>
    </w:r>
    <w:r>
      <w:rPr>
        <w:rStyle w:val="10"/>
      </w:rPr>
      <w:instrText xml:space="preserve">PAGE  </w:instrText>
    </w:r>
    <w:r>
      <w:fldChar w:fldCharType="separate"/>
    </w:r>
    <w:r>
      <w:rPr>
        <w:rStyle w:val="10"/>
      </w:rPr>
      <w:t>- 5 -</w:t>
    </w:r>
    <w:r>
      <w:fldChar w:fldCharType="end"/>
    </w: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abs>
        <w:tab w:val="center" w:pos="4535"/>
        <w:tab w:val="right" w:pos="9070"/>
        <w:tab w:val="clear" w:pos="4153"/>
        <w:tab w:val="clear" w:pos="8306"/>
      </w:tabs>
    </w:pPr>
    <w:r>
      <w:drawing>
        <wp:inline distT="0" distB="0" distL="114300" distR="114300">
          <wp:extent cx="1438910" cy="396875"/>
          <wp:effectExtent l="0" t="0" r="8890" b="3175"/>
          <wp:docPr id="2" name="图片 1" descr="说明: logologo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说明: logologo 副本"/>
                  <pic:cNvPicPr>
                    <a:picLocks noChangeAspect="1"/>
                  </pic:cNvPicPr>
                </pic:nvPicPr>
                <pic:blipFill>
                  <a:blip r:embed="rId1"/>
                  <a:stretch>
                    <a:fillRect/>
                  </a:stretch>
                </pic:blipFill>
                <pic:spPr>
                  <a:xfrm>
                    <a:off x="0" y="0"/>
                    <a:ext cx="1438910" cy="396875"/>
                  </a:xfrm>
                  <a:prstGeom prst="rect">
                    <a:avLst/>
                  </a:prstGeom>
                  <a:noFill/>
                  <a:ln>
                    <a:noFill/>
                  </a:ln>
                </pic:spPr>
              </pic:pic>
            </a:graphicData>
          </a:graphic>
        </wp:inline>
      </w:drawing>
    </w:r>
    <w:r>
      <w:t xml:space="preserve"> </w:t>
    </w:r>
    <w:r>
      <w:tab/>
    </w:r>
    <w:r>
      <w:tab/>
    </w:r>
    <w:r>
      <w:rPr>
        <w:sz w:val="20"/>
      </w:rPr>
      <w:t>http://www.eppen.com.cn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6419EB"/>
    <w:multiLevelType w:val="singleLevel"/>
    <w:tmpl w:val="F26419EB"/>
    <w:lvl w:ilvl="0" w:tentative="0">
      <w:start w:val="1"/>
      <w:numFmt w:val="chineseCounting"/>
      <w:suff w:val="nothing"/>
      <w:lvlText w:val="%1、"/>
      <w:lvlJc w:val="left"/>
      <w:rPr>
        <w:rFonts w:hint="eastAsia"/>
      </w:rPr>
    </w:lvl>
  </w:abstractNum>
  <w:abstractNum w:abstractNumId="1">
    <w:nsid w:val="11563ACA"/>
    <w:multiLevelType w:val="singleLevel"/>
    <w:tmpl w:val="11563ACA"/>
    <w:lvl w:ilvl="0" w:tentative="0">
      <w:start w:val="1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3YzNjNzJlMTA2MGI4OGE3ZDMyODIyY2NmOTM3N2EifQ=="/>
  </w:docVars>
  <w:rsids>
    <w:rsidRoot w:val="00A41F1B"/>
    <w:rsid w:val="00134F13"/>
    <w:rsid w:val="00176058"/>
    <w:rsid w:val="00191B3C"/>
    <w:rsid w:val="00243D51"/>
    <w:rsid w:val="002614BA"/>
    <w:rsid w:val="00370FD1"/>
    <w:rsid w:val="0039211B"/>
    <w:rsid w:val="003B787E"/>
    <w:rsid w:val="003E43A7"/>
    <w:rsid w:val="00521F65"/>
    <w:rsid w:val="00536957"/>
    <w:rsid w:val="00553CA7"/>
    <w:rsid w:val="005D483F"/>
    <w:rsid w:val="00734357"/>
    <w:rsid w:val="0075580E"/>
    <w:rsid w:val="00817AAD"/>
    <w:rsid w:val="008C1344"/>
    <w:rsid w:val="009B44E3"/>
    <w:rsid w:val="00A03711"/>
    <w:rsid w:val="00A07814"/>
    <w:rsid w:val="00A41F1B"/>
    <w:rsid w:val="00A5222D"/>
    <w:rsid w:val="00AA1A30"/>
    <w:rsid w:val="00AD3A7F"/>
    <w:rsid w:val="00B570BD"/>
    <w:rsid w:val="00BB4E44"/>
    <w:rsid w:val="00CB5612"/>
    <w:rsid w:val="00CC0E68"/>
    <w:rsid w:val="00D10CAC"/>
    <w:rsid w:val="00D935B6"/>
    <w:rsid w:val="00DF2F33"/>
    <w:rsid w:val="00DF3B3B"/>
    <w:rsid w:val="00E73BEA"/>
    <w:rsid w:val="00F60592"/>
    <w:rsid w:val="00F80158"/>
    <w:rsid w:val="0245005A"/>
    <w:rsid w:val="02D7069C"/>
    <w:rsid w:val="0443792C"/>
    <w:rsid w:val="04A70EBA"/>
    <w:rsid w:val="051A26C7"/>
    <w:rsid w:val="055E32F7"/>
    <w:rsid w:val="05856AD5"/>
    <w:rsid w:val="06C47189"/>
    <w:rsid w:val="082C411B"/>
    <w:rsid w:val="08536A17"/>
    <w:rsid w:val="08C41CAA"/>
    <w:rsid w:val="0A79028B"/>
    <w:rsid w:val="0A7C277A"/>
    <w:rsid w:val="0B500647"/>
    <w:rsid w:val="0CA8190C"/>
    <w:rsid w:val="0CCC323C"/>
    <w:rsid w:val="0E653000"/>
    <w:rsid w:val="0E7501B1"/>
    <w:rsid w:val="10624C93"/>
    <w:rsid w:val="123B23F5"/>
    <w:rsid w:val="1497412F"/>
    <w:rsid w:val="159A2721"/>
    <w:rsid w:val="184364CE"/>
    <w:rsid w:val="18E633C4"/>
    <w:rsid w:val="19141BB8"/>
    <w:rsid w:val="1A374C5C"/>
    <w:rsid w:val="1B4072CF"/>
    <w:rsid w:val="1C633841"/>
    <w:rsid w:val="1D033D2F"/>
    <w:rsid w:val="1D7D735E"/>
    <w:rsid w:val="1EF94BAD"/>
    <w:rsid w:val="1F2748A6"/>
    <w:rsid w:val="20024C12"/>
    <w:rsid w:val="208A16D2"/>
    <w:rsid w:val="20FF18B3"/>
    <w:rsid w:val="23711FEF"/>
    <w:rsid w:val="23A777BF"/>
    <w:rsid w:val="23FC389C"/>
    <w:rsid w:val="247320B1"/>
    <w:rsid w:val="252C1A1A"/>
    <w:rsid w:val="253357AE"/>
    <w:rsid w:val="260450DB"/>
    <w:rsid w:val="26E03EE4"/>
    <w:rsid w:val="28625D54"/>
    <w:rsid w:val="287843C4"/>
    <w:rsid w:val="296E1870"/>
    <w:rsid w:val="297D524A"/>
    <w:rsid w:val="29C76E0D"/>
    <w:rsid w:val="2D5C5ABE"/>
    <w:rsid w:val="2E152297"/>
    <w:rsid w:val="2F4910A0"/>
    <w:rsid w:val="2F90023B"/>
    <w:rsid w:val="30314FE0"/>
    <w:rsid w:val="34371F67"/>
    <w:rsid w:val="345E211C"/>
    <w:rsid w:val="35A67D4D"/>
    <w:rsid w:val="37BF50C5"/>
    <w:rsid w:val="3A773F37"/>
    <w:rsid w:val="3ACF1522"/>
    <w:rsid w:val="3B1874C8"/>
    <w:rsid w:val="3BC767F9"/>
    <w:rsid w:val="3C0812EB"/>
    <w:rsid w:val="3C8841DA"/>
    <w:rsid w:val="3E6E11AD"/>
    <w:rsid w:val="3FC93DFE"/>
    <w:rsid w:val="41A67ED4"/>
    <w:rsid w:val="41BD2B78"/>
    <w:rsid w:val="41F26067"/>
    <w:rsid w:val="4219022F"/>
    <w:rsid w:val="423315F3"/>
    <w:rsid w:val="42B0414A"/>
    <w:rsid w:val="42D84E78"/>
    <w:rsid w:val="44957494"/>
    <w:rsid w:val="44BC4A95"/>
    <w:rsid w:val="48053E1D"/>
    <w:rsid w:val="48AE321A"/>
    <w:rsid w:val="48FC3F85"/>
    <w:rsid w:val="4A4A0D21"/>
    <w:rsid w:val="4ABF775B"/>
    <w:rsid w:val="4ADA676F"/>
    <w:rsid w:val="4BCB30BB"/>
    <w:rsid w:val="4C0B2731"/>
    <w:rsid w:val="4E8C71C7"/>
    <w:rsid w:val="4FBD1CC5"/>
    <w:rsid w:val="510C31D4"/>
    <w:rsid w:val="51257AFB"/>
    <w:rsid w:val="524A53AC"/>
    <w:rsid w:val="53A419F9"/>
    <w:rsid w:val="54882B71"/>
    <w:rsid w:val="54C55B73"/>
    <w:rsid w:val="55F02171"/>
    <w:rsid w:val="57265675"/>
    <w:rsid w:val="58392CF4"/>
    <w:rsid w:val="584F7E23"/>
    <w:rsid w:val="58B4765C"/>
    <w:rsid w:val="5C074A7D"/>
    <w:rsid w:val="5C2C472A"/>
    <w:rsid w:val="5C611156"/>
    <w:rsid w:val="5C677510"/>
    <w:rsid w:val="5D043F49"/>
    <w:rsid w:val="5D557CB0"/>
    <w:rsid w:val="612E2591"/>
    <w:rsid w:val="620415AC"/>
    <w:rsid w:val="623E09AE"/>
    <w:rsid w:val="63343EC4"/>
    <w:rsid w:val="635602DE"/>
    <w:rsid w:val="64C37BF6"/>
    <w:rsid w:val="65784EC4"/>
    <w:rsid w:val="65E579A4"/>
    <w:rsid w:val="660F7B1B"/>
    <w:rsid w:val="68E76769"/>
    <w:rsid w:val="69154A7F"/>
    <w:rsid w:val="69382960"/>
    <w:rsid w:val="695232F6"/>
    <w:rsid w:val="697F233D"/>
    <w:rsid w:val="6A9E2C97"/>
    <w:rsid w:val="6B393020"/>
    <w:rsid w:val="6BD4607D"/>
    <w:rsid w:val="6BEE5558"/>
    <w:rsid w:val="6D003795"/>
    <w:rsid w:val="6E5F098F"/>
    <w:rsid w:val="70701A48"/>
    <w:rsid w:val="70834301"/>
    <w:rsid w:val="70CF0CEA"/>
    <w:rsid w:val="725D51E5"/>
    <w:rsid w:val="72714425"/>
    <w:rsid w:val="72967DD4"/>
    <w:rsid w:val="72F71196"/>
    <w:rsid w:val="750F7CC8"/>
    <w:rsid w:val="756C0B14"/>
    <w:rsid w:val="760B4F58"/>
    <w:rsid w:val="76447811"/>
    <w:rsid w:val="7671125F"/>
    <w:rsid w:val="76760624"/>
    <w:rsid w:val="775766A7"/>
    <w:rsid w:val="79E45DF5"/>
    <w:rsid w:val="7CA2644D"/>
    <w:rsid w:val="7D110840"/>
    <w:rsid w:val="7D1D5C9D"/>
    <w:rsid w:val="7EAA3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rPr>
      <w:rFonts w:ascii="宋体" w:hAnsi="宋体"/>
    </w:rPr>
  </w:style>
  <w:style w:type="paragraph" w:styleId="3">
    <w:name w:val="Body Text"/>
    <w:basedOn w:val="1"/>
    <w:qFormat/>
    <w:uiPriority w:val="0"/>
    <w:pPr>
      <w:spacing w:after="120"/>
    </w:pPr>
  </w:style>
  <w:style w:type="paragraph" w:styleId="4">
    <w:name w:val="Balloon Text"/>
    <w:basedOn w:val="1"/>
    <w:link w:val="14"/>
    <w:qFormat/>
    <w:uiPriority w:val="0"/>
    <w:rPr>
      <w:sz w:val="18"/>
      <w:szCs w:val="1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List"/>
    <w:basedOn w:val="1"/>
    <w:qFormat/>
    <w:uiPriority w:val="0"/>
    <w:pPr>
      <w:ind w:left="420" w:hanging="420"/>
    </w:pPr>
    <w:rPr>
      <w:szCs w:val="20"/>
    </w:rPr>
  </w:style>
  <w:style w:type="character" w:styleId="10">
    <w:name w:val="page number"/>
    <w:basedOn w:val="9"/>
    <w:qFormat/>
    <w:uiPriority w:val="0"/>
  </w:style>
  <w:style w:type="character" w:styleId="11">
    <w:name w:val="Hyperlink"/>
    <w:qFormat/>
    <w:uiPriority w:val="99"/>
    <w:rPr>
      <w:color w:val="000033"/>
      <w:sz w:val="15"/>
      <w:szCs w:val="15"/>
      <w:u w:val="none"/>
    </w:rPr>
  </w:style>
  <w:style w:type="paragraph" w:styleId="12">
    <w:name w:val="List Paragraph"/>
    <w:basedOn w:val="1"/>
    <w:qFormat/>
    <w:uiPriority w:val="34"/>
    <w:pPr>
      <w:ind w:firstLine="420" w:firstLineChars="200"/>
    </w:pPr>
    <w:rPr>
      <w:rFonts w:ascii="Calibri" w:hAnsi="Calibri"/>
      <w:szCs w:val="22"/>
    </w:r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4">
    <w:name w:val="批注框文本 Char"/>
    <w:basedOn w:val="9"/>
    <w:link w:val="4"/>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5</Pages>
  <Words>2640</Words>
  <Characters>2892</Characters>
  <Lines>21</Lines>
  <Paragraphs>6</Paragraphs>
  <TotalTime>94</TotalTime>
  <ScaleCrop>false</ScaleCrop>
  <LinksUpToDate>false</LinksUpToDate>
  <CharactersWithSpaces>2953</CharactersWithSpaces>
  <Application>WPS Office_11.1.0.12650_F1E327BC-269C-435d-A152-05C5408002CA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2022-06-22T03:14:00Z</dcterms:created>
  <dc:creator>guzhenhua</dc:creator>
  <cp:lastModifiedBy>顾振华</cp:lastModifiedBy>
  <dcterms:modified xsi:type="dcterms:W3CDTF">2023-01-31T02:11:08Z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2052-11.1.0.12650</vt:lpwstr>
  </property>
  <property fmtid="{D5CDD505-2E9C-101B-9397-08002B2CF9AE}" pid="3" name="ICV">
    <vt:lpwstr>E028DDEDE7024A9892A95D3107048E68</vt:lpwstr>
  </property>
</Properties>
</file>