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jc w:val="center"/>
        <w:rPr>
          <w:rFonts w:cs="Arial Unicode MS" w:asciiTheme="minorEastAsia" w:hAnsiTheme="minorEastAsia" w:eastAsiaTheme="minorEastAsia"/>
          <w:b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Arial Unicode MS" w:asciiTheme="minorEastAsia" w:hAnsiTheme="minorEastAsia" w:eastAsiaTheme="minorEastAsia"/>
          <w:b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投标说明</w:t>
      </w:r>
    </w:p>
    <w:p>
      <w:pPr>
        <w:pStyle w:val="10"/>
        <w:jc w:val="center"/>
        <w:rPr>
          <w:rFonts w:cs="Arial Unicode MS" w:asciiTheme="minorEastAsia" w:hAnsiTheme="minorEastAsia" w:eastAsiaTheme="minorEastAsia"/>
          <w:b/>
          <w:color w:val="000000" w:themeColor="text1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cs="Arial Unicode MS" w:asciiTheme="minorEastAsia" w:hAnsiTheme="minorEastAsia" w:eastAsiaTheme="minorEastAsia"/>
          <w:b/>
          <w:color w:val="000000" w:themeColor="text1"/>
          <w:szCs w:val="22"/>
          <w14:textFill>
            <w14:solidFill>
              <w14:schemeClr w14:val="tx1"/>
            </w14:solidFill>
          </w14:textFill>
        </w:rPr>
        <w:t>202</w:t>
      </w:r>
      <w:r>
        <w:rPr>
          <w:rFonts w:hint="eastAsia" w:cs="Arial Unicode MS" w:asciiTheme="minorEastAsia" w:hAnsiTheme="minorEastAsia" w:eastAsiaTheme="minorEastAsia"/>
          <w:b/>
          <w:color w:val="000000" w:themeColor="text1"/>
          <w:szCs w:val="2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cs="Arial Unicode MS" w:asciiTheme="minorEastAsia" w:hAnsiTheme="minorEastAsia" w:eastAsiaTheme="minorEastAsia"/>
          <w:b/>
          <w:color w:val="000000" w:themeColor="text1"/>
          <w:szCs w:val="22"/>
          <w14:textFill>
            <w14:solidFill>
              <w14:schemeClr w14:val="tx1"/>
            </w14:solidFill>
          </w14:textFill>
        </w:rPr>
        <w:t>年海亮各基地物流招标</w:t>
      </w:r>
    </w:p>
    <w:p>
      <w:pPr>
        <w:pStyle w:val="10"/>
        <w:rPr>
          <w:rFonts w:hint="eastAsia" w:asciiTheme="minorEastAsia" w:hAnsiTheme="minorEastAsia" w:eastAsiaTheme="minorEastAsia"/>
          <w:b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招标运输线路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5"/>
        <w:gridCol w:w="1952"/>
        <w:gridCol w:w="2361"/>
        <w:gridCol w:w="1948"/>
        <w:gridCol w:w="702"/>
        <w:gridCol w:w="1131"/>
        <w:gridCol w:w="8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公司全称</w:t>
            </w:r>
          </w:p>
        </w:tc>
        <w:tc>
          <w:tcPr>
            <w:tcW w:w="9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地址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货物种类</w:t>
            </w:r>
          </w:p>
        </w:tc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运输线路（①从地址到以下区域；②从以下区域回到地址）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运输预估体量（吨）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运输线路编号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浙江海亮股份有限公司；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浙江科宇金属材料有限公司；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浙江海亮新材料有限公司；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浙江铜加工研究院有限公司；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浙江海亮环境材料有限公司</w:t>
            </w:r>
          </w:p>
        </w:tc>
        <w:tc>
          <w:tcPr>
            <w:tcW w:w="93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浙江省诸暨市店口镇中央路198号；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浙江省诸暨市店口镇枫叶路56号；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浙江省诸暨市店口镇枫叶路60号；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海亮有色智造工业园诸暨市103省道东复线</w:t>
            </w:r>
          </w:p>
        </w:tc>
        <w:tc>
          <w:tcPr>
            <w:tcW w:w="113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直管、盘管、铜排、管件、铜棒、铝管、退料、木盘片、木托架、木条、两器片、箱子、托盘、废铜、铜沫、其他不规则货物等</w:t>
            </w:r>
          </w:p>
        </w:tc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浙江诸暨、萧山</w:t>
            </w:r>
          </w:p>
        </w:tc>
        <w:tc>
          <w:tcPr>
            <w:tcW w:w="33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30万</w:t>
            </w:r>
          </w:p>
        </w:tc>
        <w:tc>
          <w:tcPr>
            <w:tcW w:w="5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浙江诸暨的海亮公司比较多，因产品种类多、需装货仓库多、浙江省内的客户又散又多、要求多，所以运输线路划分的比较细，诸暨以外的公司不做细分。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10001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浙江杭州</w:t>
            </w:r>
          </w:p>
        </w:tc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10002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下沙保税区/杭州格力</w:t>
            </w:r>
          </w:p>
        </w:tc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10003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浙江台州</w:t>
            </w:r>
          </w:p>
        </w:tc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10004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浙江新昌嵊州</w:t>
            </w:r>
          </w:p>
        </w:tc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10005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浙江温州</w:t>
            </w:r>
          </w:p>
        </w:tc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10006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浙江宁波</w:t>
            </w:r>
          </w:p>
        </w:tc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10007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浙江省其他区域</w:t>
            </w:r>
          </w:p>
        </w:tc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10008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江苏省</w:t>
            </w:r>
          </w:p>
        </w:tc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10009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10010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</w:t>
            </w:r>
          </w:p>
        </w:tc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10011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上海市</w:t>
            </w:r>
          </w:p>
        </w:tc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10012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</w:t>
            </w:r>
          </w:p>
        </w:tc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10013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北京天津河北</w:t>
            </w:r>
          </w:p>
        </w:tc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10014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其他区域</w:t>
            </w:r>
          </w:p>
        </w:tc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10015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上海海亮铜业有限公司</w:t>
            </w:r>
          </w:p>
        </w:tc>
        <w:tc>
          <w:tcPr>
            <w:tcW w:w="9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上海市奉贤区四团镇新四平公路2688号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直管、盘管、退料、木盘片、木托架、木条、两器片、箱子、废铜、其他不规则货物等</w:t>
            </w:r>
          </w:p>
        </w:tc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全部区域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10016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海亮（安徽）铜业有限公司</w:t>
            </w:r>
          </w:p>
        </w:tc>
        <w:tc>
          <w:tcPr>
            <w:tcW w:w="9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安徽省铜陵市狮子山经济开发区海亮工业园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直管、盘管、退料、木盘片、木托架、木条、两器片、箱子、废铜、其他不规则货物等</w:t>
            </w:r>
          </w:p>
        </w:tc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全部区域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原材料运输编号20005也必须一起报价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10017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广东海亮铜业有限公司</w:t>
            </w:r>
          </w:p>
        </w:tc>
        <w:tc>
          <w:tcPr>
            <w:tcW w:w="9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广东省江门市台山市水步镇龙山路53号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直管、盘管、铜棒、退料、木盘片、木托架、木条、两器片、箱子、废铜、铜沫、其他不规则货物等</w:t>
            </w:r>
          </w:p>
        </w:tc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全部区域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原材料运输编号20006也必须一起报价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10018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海亮奥托铜管（广东）有限公司</w:t>
            </w:r>
          </w:p>
        </w:tc>
        <w:tc>
          <w:tcPr>
            <w:tcW w:w="9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广东省中山市黄圃镇兴圃大道西96号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直管、盘管、退料、木盘片、木托架、木条、两器片、箱子、废铜、其他不规则货物等</w:t>
            </w:r>
          </w:p>
        </w:tc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全部区域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原材料运输编号20006也必须一起报价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10019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成都贝德铜业有限公司</w:t>
            </w:r>
          </w:p>
        </w:tc>
        <w:tc>
          <w:tcPr>
            <w:tcW w:w="9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四川省成都市双流区空港四路2129号川开园区；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重庆市江津区珞璜工业园机电路10号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铜排、退料、托盘、箱子、其他不规则货物等</w:t>
            </w:r>
          </w:p>
        </w:tc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全部区域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10020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重庆海亮铜业有限公司</w:t>
            </w:r>
          </w:p>
        </w:tc>
        <w:tc>
          <w:tcPr>
            <w:tcW w:w="9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重庆市江津区珞璜工业园机电路10号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直管、盘管、退料、木盘片、木托架、木条、两器片、箱子、废铜、其他不规则货物等</w:t>
            </w:r>
          </w:p>
        </w:tc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全部区域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10021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山东海亮奥博特铜业有限公司</w:t>
            </w:r>
          </w:p>
        </w:tc>
        <w:tc>
          <w:tcPr>
            <w:tcW w:w="9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山东省聊城市临清市东二环路工业园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直管、盘管、退料、木盘片、木托架、木条、两器片、箱子、废铜、其他不规则货物等</w:t>
            </w:r>
          </w:p>
        </w:tc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全部区域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10022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以上（10001-10022）为我司产品相关的运输线路招标；以下（20001-20016）为我司原材料相关的运输线路招标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运输线路（起点）</w:t>
            </w:r>
          </w:p>
        </w:tc>
        <w:tc>
          <w:tcPr>
            <w:tcW w:w="9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运输线路（终点）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货物种类</w:t>
            </w:r>
          </w:p>
        </w:tc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运输类型（散货运输或者集装箱运输）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（集装箱运输需要将空箱还到指定堆场，且需要垫付滞箱费等额外费用、对额外费用负责）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运输预估体量（吨）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运输线路编号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宁波港</w:t>
            </w:r>
          </w:p>
        </w:tc>
        <w:tc>
          <w:tcPr>
            <w:tcW w:w="9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浙江省（不止店口海亮厂）</w:t>
            </w:r>
          </w:p>
        </w:tc>
        <w:tc>
          <w:tcPr>
            <w:tcW w:w="113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电解铜、再生铜、铝、锌、镍等原材料</w:t>
            </w:r>
          </w:p>
        </w:tc>
        <w:tc>
          <w:tcPr>
            <w:tcW w:w="93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集装箱</w:t>
            </w:r>
          </w:p>
        </w:tc>
        <w:tc>
          <w:tcPr>
            <w:tcW w:w="33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20001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上海外港、洋山港</w:t>
            </w:r>
          </w:p>
        </w:tc>
        <w:tc>
          <w:tcPr>
            <w:tcW w:w="9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上海海亮厂、浙江省（不止店口海亮厂）</w:t>
            </w:r>
          </w:p>
        </w:tc>
        <w:tc>
          <w:tcPr>
            <w:tcW w:w="1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20002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诸暨火车站</w:t>
            </w:r>
          </w:p>
        </w:tc>
        <w:tc>
          <w:tcPr>
            <w:tcW w:w="9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店口海亮厂</w:t>
            </w:r>
          </w:p>
        </w:tc>
        <w:tc>
          <w:tcPr>
            <w:tcW w:w="1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20003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重庆小南垭站</w:t>
            </w:r>
          </w:p>
        </w:tc>
        <w:tc>
          <w:tcPr>
            <w:tcW w:w="9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重庆海亮厂</w:t>
            </w:r>
          </w:p>
        </w:tc>
        <w:tc>
          <w:tcPr>
            <w:tcW w:w="1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20004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</w:t>
            </w:r>
          </w:p>
        </w:tc>
        <w:tc>
          <w:tcPr>
            <w:tcW w:w="9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安徽海亮厂、上海海亮厂、店口海亮厂</w:t>
            </w:r>
          </w:p>
        </w:tc>
        <w:tc>
          <w:tcPr>
            <w:tcW w:w="113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电解铜、再生铜、铝、锌、镍等原材料</w:t>
            </w:r>
          </w:p>
        </w:tc>
        <w:tc>
          <w:tcPr>
            <w:tcW w:w="93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散货</w:t>
            </w:r>
          </w:p>
        </w:tc>
        <w:tc>
          <w:tcPr>
            <w:tcW w:w="33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20005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</w:t>
            </w:r>
          </w:p>
        </w:tc>
        <w:tc>
          <w:tcPr>
            <w:tcW w:w="9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广东海亮厂、中山奥托厂等</w:t>
            </w:r>
          </w:p>
        </w:tc>
        <w:tc>
          <w:tcPr>
            <w:tcW w:w="1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20006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</w:t>
            </w:r>
          </w:p>
        </w:tc>
        <w:tc>
          <w:tcPr>
            <w:tcW w:w="9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广东海亮厂、重庆海亮厂</w:t>
            </w:r>
          </w:p>
        </w:tc>
        <w:tc>
          <w:tcPr>
            <w:tcW w:w="1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20007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</w:t>
            </w:r>
          </w:p>
        </w:tc>
        <w:tc>
          <w:tcPr>
            <w:tcW w:w="9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店口海亮厂、安徽海亮厂</w:t>
            </w:r>
          </w:p>
        </w:tc>
        <w:tc>
          <w:tcPr>
            <w:tcW w:w="1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20008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</w:t>
            </w:r>
          </w:p>
        </w:tc>
        <w:tc>
          <w:tcPr>
            <w:tcW w:w="9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山东奥博特厂</w:t>
            </w:r>
          </w:p>
        </w:tc>
        <w:tc>
          <w:tcPr>
            <w:tcW w:w="1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20009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</w:t>
            </w:r>
          </w:p>
        </w:tc>
        <w:tc>
          <w:tcPr>
            <w:tcW w:w="9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上海海亮厂、安徽海亮厂、浙江省（不止店口海亮厂）</w:t>
            </w:r>
          </w:p>
        </w:tc>
        <w:tc>
          <w:tcPr>
            <w:tcW w:w="1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20010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上海外港、洋山港</w:t>
            </w:r>
          </w:p>
        </w:tc>
        <w:tc>
          <w:tcPr>
            <w:tcW w:w="9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上海海亮厂、安徽海亮厂、浙江省（不止店口海亮厂）</w:t>
            </w:r>
          </w:p>
        </w:tc>
        <w:tc>
          <w:tcPr>
            <w:tcW w:w="1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20011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诸暨</w:t>
            </w:r>
          </w:p>
        </w:tc>
        <w:tc>
          <w:tcPr>
            <w:tcW w:w="9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安徽、广东、江苏、江西、上海、浙江</w:t>
            </w:r>
          </w:p>
        </w:tc>
        <w:tc>
          <w:tcPr>
            <w:tcW w:w="1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20012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富阳</w:t>
            </w:r>
          </w:p>
        </w:tc>
        <w:tc>
          <w:tcPr>
            <w:tcW w:w="9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安徽、广东、江苏、江西、上海、浙江</w:t>
            </w:r>
          </w:p>
        </w:tc>
        <w:tc>
          <w:tcPr>
            <w:tcW w:w="1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20013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</w:t>
            </w:r>
          </w:p>
        </w:tc>
        <w:tc>
          <w:tcPr>
            <w:tcW w:w="9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安徽海亮厂、浙江省（不止店口海亮厂）</w:t>
            </w:r>
          </w:p>
        </w:tc>
        <w:tc>
          <w:tcPr>
            <w:tcW w:w="1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20014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诸暨火车站</w:t>
            </w:r>
          </w:p>
        </w:tc>
        <w:tc>
          <w:tcPr>
            <w:tcW w:w="9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诸暨</w:t>
            </w:r>
          </w:p>
        </w:tc>
        <w:tc>
          <w:tcPr>
            <w:tcW w:w="1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20015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</w:t>
            </w:r>
          </w:p>
        </w:tc>
        <w:tc>
          <w:tcPr>
            <w:tcW w:w="9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</w:t>
            </w:r>
          </w:p>
        </w:tc>
        <w:tc>
          <w:tcPr>
            <w:tcW w:w="1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20016</w:t>
            </w:r>
          </w:p>
        </w:tc>
      </w:tr>
    </w:tbl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"/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/>
          <w:b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二、招标</w:t>
      </w: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说明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1、招标内容（汽运）：</w:t>
      </w:r>
      <w:r>
        <w:rPr>
          <w:rFonts w:hint="eastAsia" w:asciiTheme="minorEastAsia" w:hAnsiTheme="minorEastAsia" w:eastAsiaTheme="minorEastAsia"/>
          <w:b/>
          <w:bCs/>
          <w:color w:val="FF0000"/>
          <w:kern w:val="0"/>
          <w:szCs w:val="22"/>
          <w:lang w:eastAsia="zh-CN"/>
        </w:rPr>
        <w:t>产品运输需要以我司客户的采购订单为准，大客户多以整车运输为主，小客户则多以小零担拼车、托运运输为主；原材料运输需要以我司采购部门的订单为准，多以整车运输为主。具体以我司运输负责人下达的运输计划为准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843" w:hanging="840" w:hangingChars="400"/>
        <w:textAlignment w:val="auto"/>
        <w:rPr>
          <w:rFonts w:asciiTheme="minorEastAsia" w:hAnsiTheme="minorEastAsia" w:eastAsiaTheme="minorEastAsia"/>
          <w:b w:val="0"/>
          <w:bCs w:val="0"/>
          <w:color w:val="auto"/>
          <w:kern w:val="0"/>
          <w:szCs w:val="22"/>
        </w:rPr>
      </w:pPr>
      <w:r>
        <w:rPr>
          <w:rFonts w:hint="eastAsia" w:asciiTheme="minorEastAsia" w:hAnsiTheme="minorEastAsia" w:eastAsiaTheme="minorEastAsia"/>
          <w:b w:val="0"/>
          <w:bCs w:val="0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①</w:t>
      </w:r>
      <w:r>
        <w:rPr>
          <w:rFonts w:hint="eastAsia" w:asciiTheme="minorEastAsia" w:hAnsiTheme="minorEastAsia" w:eastAsiaTheme="minorEastAsia"/>
          <w:b w:val="0"/>
          <w:bCs w:val="0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产品</w:t>
      </w:r>
      <w:r>
        <w:rPr>
          <w:rFonts w:hint="eastAsia" w:asciiTheme="minorEastAsia" w:hAnsiTheme="minorEastAsia" w:eastAsiaTheme="minorEastAsia"/>
          <w:b w:val="0"/>
          <w:bCs w:val="0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运输：各基地的产品、退料包材</w:t>
      </w:r>
      <w:r>
        <w:rPr>
          <w:rFonts w:hint="eastAsia" w:asciiTheme="minorEastAsia" w:hAnsiTheme="minorEastAsia" w:eastAsiaTheme="minorEastAsia"/>
          <w:b w:val="0"/>
          <w:bCs w:val="0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Theme="minorEastAsia" w:hAnsiTheme="minorEastAsia" w:eastAsiaTheme="minorEastAsia"/>
          <w:b w:val="0"/>
          <w:bCs w:val="0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运输，按吨报价，开票9个点，含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kern w:val="0"/>
          <w:szCs w:val="22"/>
        </w:rPr>
        <w:t>税含保险，运费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kern w:val="0"/>
          <w:szCs w:val="22"/>
          <w:lang w:eastAsia="zh-CN"/>
        </w:rPr>
        <w:t>次月结算。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kern w:val="0"/>
          <w:szCs w:val="22"/>
        </w:rPr>
        <w:t>本次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kern w:val="0"/>
          <w:szCs w:val="22"/>
          <w:lang w:eastAsia="zh-CN"/>
        </w:rPr>
        <w:t>招标的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kern w:val="0"/>
          <w:szCs w:val="22"/>
        </w:rPr>
        <w:t>内容是产品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kern w:val="0"/>
          <w:szCs w:val="22"/>
          <w:lang w:eastAsia="zh-CN"/>
        </w:rPr>
        <w:t>的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kern w:val="0"/>
          <w:szCs w:val="22"/>
        </w:rPr>
        <w:t>运价，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kern w:val="0"/>
          <w:szCs w:val="22"/>
          <w:lang w:eastAsia="zh-CN"/>
        </w:rPr>
        <w:t>对产品运价之外的运输标准，或者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kern w:val="0"/>
          <w:szCs w:val="22"/>
        </w:rPr>
        <w:t>未在报价表中列明的货物运输（比如退货包材的价格标准、其他特殊运输），由中标的车队负责，并按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kern w:val="0"/>
          <w:szCs w:val="22"/>
          <w:lang w:eastAsia="zh-CN"/>
        </w:rPr>
        <w:t>上一个年度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kern w:val="0"/>
          <w:szCs w:val="22"/>
        </w:rPr>
        <w:t>的运价标准结算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kern w:val="0"/>
          <w:szCs w:val="22"/>
          <w:lang w:eastAsia="zh-CN"/>
        </w:rPr>
        <w:t>，按上一个年度的考核制度执行。如果未了解清楚相应条款，请于正式投标前主动来了解清楚，</w:t>
      </w:r>
      <w:r>
        <w:rPr>
          <w:rFonts w:hint="eastAsia" w:asciiTheme="minorEastAsia" w:hAnsiTheme="minorEastAsia" w:eastAsiaTheme="minorEastAsia"/>
          <w:b/>
          <w:bCs/>
          <w:color w:val="FF0000"/>
          <w:kern w:val="0"/>
          <w:szCs w:val="22"/>
          <w:lang w:eastAsia="zh-CN"/>
        </w:rPr>
        <w:t>凡是正式参与投标的公司都默认了解和同意此条款，除了贵司的投标价以外，其他合同条款、运价条款都沿用我司上一年度的标准</w:t>
      </w:r>
      <w:r>
        <w:rPr>
          <w:rFonts w:hint="eastAsia" w:asciiTheme="minorEastAsia" w:hAnsiTheme="minorEastAsia" w:eastAsiaTheme="minorEastAsia"/>
          <w:b/>
          <w:bCs/>
          <w:color w:val="FF0000"/>
          <w:kern w:val="0"/>
          <w:szCs w:val="22"/>
        </w:rPr>
        <w:t>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 w:val="0"/>
          <w:bCs w:val="0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②原材料运输：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各基地的电解铜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、锌、镍等原料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运输，按吨报价，开票9个点，含税含保险，运费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次月结算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运输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线路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选择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：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Theme="minorEastAsia" w:hAnsiTheme="minorEastAsia" w:eastAsiaTheme="minorEastAsia"/>
          <w:b/>
          <w:bCs/>
          <w:color w:val="FF0000"/>
          <w:kern w:val="0"/>
          <w:szCs w:val="22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/>
          <w:color w:val="FF0000"/>
          <w:kern w:val="0"/>
          <w:szCs w:val="22"/>
          <w:lang w:eastAsia="zh-CN"/>
        </w:rPr>
        <w:t>凡是希望来投标的公司，请选择好运输线路编号（</w:t>
      </w:r>
      <w:r>
        <w:rPr>
          <w:rFonts w:hint="eastAsia" w:asciiTheme="minorEastAsia" w:hAnsiTheme="minorEastAsia" w:eastAsiaTheme="minorEastAsia"/>
          <w:b/>
          <w:bCs/>
          <w:color w:val="FF0000"/>
          <w:kern w:val="0"/>
          <w:szCs w:val="22"/>
          <w:lang w:val="en-US" w:eastAsia="zh-CN"/>
        </w:rPr>
        <w:t>10001-10022,20001-20016</w:t>
      </w:r>
      <w:r>
        <w:rPr>
          <w:rFonts w:hint="eastAsia" w:asciiTheme="minorEastAsia" w:hAnsiTheme="minorEastAsia" w:eastAsiaTheme="minorEastAsia"/>
          <w:b/>
          <w:bCs/>
          <w:color w:val="FF0000"/>
          <w:kern w:val="0"/>
          <w:szCs w:val="22"/>
          <w:lang w:eastAsia="zh-CN"/>
        </w:rPr>
        <w:t>），我司会提供对应编号的报价表</w:t>
      </w:r>
      <w:r>
        <w:rPr>
          <w:rFonts w:hint="eastAsia" w:asciiTheme="minorEastAsia" w:hAnsiTheme="minorEastAsia" w:eastAsiaTheme="minorEastAsia"/>
          <w:b/>
          <w:bCs/>
          <w:color w:val="FF0000"/>
          <w:kern w:val="0"/>
          <w:szCs w:val="22"/>
          <w:lang w:val="en-US" w:eastAsia="zh-CN"/>
        </w:rPr>
        <w:t>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/>
          <w:color w:val="000000" w:themeColor="text1"/>
          <w:kern w:val="0"/>
          <w:szCs w:val="22"/>
          <w:highlight w:val="yellow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highlight w:val="yellow"/>
          <w14:textFill>
            <w14:solidFill>
              <w14:schemeClr w14:val="tx1"/>
            </w14:solidFill>
          </w14:textFill>
        </w:rPr>
        <w:t>3、投标准备资料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highlight w:val="yellow"/>
          <w:lang w:eastAsia="zh-CN"/>
          <w14:textFill>
            <w14:solidFill>
              <w14:schemeClr w14:val="tx1"/>
            </w14:solidFill>
          </w14:textFill>
        </w:rPr>
        <w:t>（发送到邮箱：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highlight w:val="yellow"/>
          <w:lang w:val="en-US" w:eastAsia="zh-CN"/>
          <w14:textFill>
            <w14:solidFill>
              <w14:schemeClr w14:val="tx1"/>
            </w14:solidFill>
          </w14:textFill>
        </w:rPr>
        <w:t>jianglei@hailiang.com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highlight w:val="yellow"/>
          <w:lang w:eastAsia="zh-CN"/>
          <w14:textFill>
            <w14:solidFill>
              <w14:schemeClr w14:val="tx1"/>
            </w14:solidFill>
          </w14:textFill>
        </w:rPr>
        <w:t>）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highlight w:val="yellow"/>
          <w:lang w:eastAsia="zh-CN"/>
          <w14:textFill>
            <w14:solidFill>
              <w14:schemeClr w14:val="tx1"/>
            </w14:solidFill>
          </w14:textFill>
        </w:rPr>
        <w:t>将电子文件发送到我司邮箱。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highlight w:val="yellow"/>
          <w14:textFill>
            <w14:solidFill>
              <w14:schemeClr w14:val="tx1"/>
            </w14:solidFill>
          </w14:textFill>
        </w:rPr>
        <w:t>我司收到后，会主动联系贵司，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highlight w:val="yellow"/>
          <w:lang w:eastAsia="zh-CN"/>
          <w14:textFill>
            <w14:solidFill>
              <w14:schemeClr w14:val="tx1"/>
            </w14:solidFill>
          </w14:textFill>
        </w:rPr>
        <w:t>文件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highlight w:val="yellow"/>
          <w14:textFill>
            <w14:solidFill>
              <w14:schemeClr w14:val="tx1"/>
            </w14:solidFill>
          </w14:textFill>
        </w:rPr>
        <w:t>必须包含以下几点内容：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highlight w:val="yellow"/>
          <w14:textFill>
            <w14:solidFill>
              <w14:schemeClr w14:val="tx1"/>
            </w14:solidFill>
          </w14:textFill>
        </w:rPr>
        <w:t>营业执照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highlight w:val="yellow"/>
          <w:lang w:eastAsia="zh-CN"/>
          <w14:textFill>
            <w14:solidFill>
              <w14:schemeClr w14:val="tx1"/>
            </w14:solidFill>
          </w14:textFill>
        </w:rPr>
        <w:t>（注册资本大于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highlight w:val="yellow"/>
          <w:lang w:val="en-US" w:eastAsia="zh-CN"/>
          <w14:textFill>
            <w14:solidFill>
              <w14:schemeClr w14:val="tx1"/>
            </w14:solidFill>
          </w14:textFill>
        </w:rPr>
        <w:t>100万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highlight w:val="yellow"/>
          <w:lang w:eastAsia="zh-CN"/>
          <w14:textFill>
            <w14:solidFill>
              <w14:schemeClr w14:val="tx1"/>
            </w14:solidFill>
          </w14:textFill>
        </w:rPr>
        <w:t>）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highlight w:val="yellow"/>
          <w14:textFill>
            <w14:solidFill>
              <w14:schemeClr w14:val="tx1"/>
            </w14:solidFill>
          </w14:textFill>
        </w:rPr>
        <w:t>运输许可证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highlight w:val="yellow"/>
          <w:lang w:eastAsia="zh-CN"/>
          <w14:textFill>
            <w14:solidFill>
              <w14:schemeClr w14:val="tx1"/>
            </w14:solidFill>
          </w14:textFill>
        </w:rPr>
        <w:t>（必须有）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highlight w:val="yellow"/>
          <w14:textFill>
            <w14:solidFill>
              <w14:schemeClr w14:val="tx1"/>
            </w14:solidFill>
          </w14:textFill>
        </w:rPr>
        <w:t>法人身份证复印件（可写上只为投标用等字样）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highlight w:val="yellow"/>
          <w14:textFill>
            <w14:solidFill>
              <w14:schemeClr w14:val="tx1"/>
            </w14:solidFill>
          </w14:textFill>
        </w:rPr>
        <w:t>负责人/操作人身份证复印件，联系方式（QQ号与手机号）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b/>
          <w:bCs/>
          <w:color w:val="FF0000"/>
          <w:kern w:val="0"/>
          <w:szCs w:val="22"/>
          <w:highlight w:val="yellow"/>
        </w:rPr>
      </w:pPr>
      <w:r>
        <w:rPr>
          <w:rFonts w:hint="eastAsia" w:asciiTheme="minorEastAsia" w:hAnsiTheme="minorEastAsia" w:eastAsiaTheme="minorEastAsia"/>
          <w:b/>
          <w:bCs/>
          <w:color w:val="FF0000"/>
          <w:kern w:val="0"/>
          <w:szCs w:val="22"/>
          <w:highlight w:val="yellow"/>
          <w:lang w:eastAsia="zh-CN"/>
        </w:rPr>
        <w:t>运输</w:t>
      </w:r>
      <w:r>
        <w:rPr>
          <w:rFonts w:hint="eastAsia" w:asciiTheme="minorEastAsia" w:hAnsiTheme="minorEastAsia" w:eastAsiaTheme="minorEastAsia"/>
          <w:b/>
          <w:bCs/>
          <w:color w:val="FF0000"/>
          <w:kern w:val="0"/>
          <w:szCs w:val="22"/>
          <w:highlight w:val="yellow"/>
        </w:rPr>
        <w:t>线路</w:t>
      </w:r>
      <w:r>
        <w:rPr>
          <w:rFonts w:hint="eastAsia" w:asciiTheme="minorEastAsia" w:hAnsiTheme="minorEastAsia" w:eastAsiaTheme="minorEastAsia"/>
          <w:b/>
          <w:bCs/>
          <w:color w:val="FF0000"/>
          <w:kern w:val="0"/>
          <w:szCs w:val="22"/>
          <w:highlight w:val="yellow"/>
          <w:lang w:eastAsia="zh-CN"/>
        </w:rPr>
        <w:t>编号</w:t>
      </w:r>
      <w:r>
        <w:rPr>
          <w:rFonts w:hint="eastAsia" w:asciiTheme="minorEastAsia" w:hAnsiTheme="minorEastAsia" w:eastAsiaTheme="minorEastAsia"/>
          <w:b/>
          <w:bCs/>
          <w:color w:val="FF0000"/>
          <w:kern w:val="0"/>
          <w:szCs w:val="22"/>
          <w:highlight w:val="yellow"/>
        </w:rPr>
        <w:t>（</w:t>
      </w:r>
      <w:r>
        <w:rPr>
          <w:rFonts w:hint="eastAsia" w:asciiTheme="minorEastAsia" w:hAnsiTheme="minorEastAsia" w:eastAsiaTheme="minorEastAsia"/>
          <w:b/>
          <w:bCs/>
          <w:color w:val="FF0000"/>
          <w:kern w:val="0"/>
          <w:szCs w:val="22"/>
          <w:highlight w:val="yellow"/>
          <w:lang w:eastAsia="zh-CN"/>
        </w:rPr>
        <w:t>必填</w:t>
      </w:r>
      <w:r>
        <w:rPr>
          <w:rFonts w:hint="eastAsia" w:asciiTheme="minorEastAsia" w:hAnsiTheme="minorEastAsia" w:eastAsiaTheme="minorEastAsia"/>
          <w:b/>
          <w:bCs/>
          <w:color w:val="FF0000"/>
          <w:kern w:val="0"/>
          <w:szCs w:val="22"/>
          <w:highlight w:val="yellow"/>
        </w:rPr>
        <w:t>）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highlight w:val="yellow"/>
          <w14:textFill>
            <w14:solidFill>
              <w14:schemeClr w14:val="tx1"/>
            </w14:solidFill>
          </w14:textFill>
        </w:rPr>
        <w:t>承运车辆信息与承运方式（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highlight w:val="yellow"/>
          <w:lang w:eastAsia="zh-CN"/>
          <w14:textFill>
            <w14:solidFill>
              <w14:schemeClr w14:val="tx1"/>
            </w14:solidFill>
          </w14:textFill>
        </w:rPr>
        <w:t>填写方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kern w:val="0"/>
          <w:szCs w:val="22"/>
          <w:highlight w:val="yellow"/>
          <w:lang w:eastAsia="zh-CN"/>
        </w:rPr>
        <w:t>式为车牌号，车辆类型和长度，车辆所有人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highlight w:val="yellow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highlight w:val="yellow"/>
          <w14:textFill>
            <w14:solidFill>
              <w14:schemeClr w14:val="tx1"/>
            </w14:solidFill>
          </w14:textFill>
        </w:rPr>
        <w:t>如无车辆信息，默认为无车承运）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highlight w:val="yellow"/>
          <w14:textFill>
            <w14:solidFill>
              <w14:schemeClr w14:val="tx1"/>
            </w14:solidFill>
          </w14:textFill>
        </w:rPr>
        <w:t>每日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highlight w:val="yellow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highlight w:val="yellow"/>
          <w14:textFill>
            <w14:solidFill>
              <w14:schemeClr w14:val="tx1"/>
            </w14:solidFill>
          </w14:textFill>
        </w:rPr>
        <w:t>承运能力有多少吨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highlight w:val="yellow"/>
          <w:lang w:eastAsia="zh-CN"/>
          <w14:textFill>
            <w14:solidFill>
              <w14:schemeClr w14:val="tx1"/>
            </w14:solidFill>
          </w14:textFill>
        </w:rPr>
        <w:t>，是否能接受非常多的小零担，是否能接受一次性出很多辆大车，是否能调特种车（超高、超宽、低板等），等等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b/>
          <w:bCs/>
          <w:color w:val="FF0000"/>
          <w:kern w:val="0"/>
          <w:szCs w:val="22"/>
          <w:highlight w:val="yellow"/>
        </w:rPr>
      </w:pPr>
      <w:r>
        <w:rPr>
          <w:rFonts w:hint="eastAsia" w:asciiTheme="minorEastAsia" w:hAnsiTheme="minorEastAsia" w:eastAsiaTheme="minorEastAsia"/>
          <w:b/>
          <w:bCs/>
          <w:color w:val="FF0000"/>
          <w:kern w:val="0"/>
          <w:szCs w:val="22"/>
          <w:highlight w:val="yellow"/>
          <w:lang w:eastAsia="zh-CN"/>
        </w:rPr>
        <w:t>本投标说明打印出来盖章的电子扫描件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/>
          <w:b w:val="0"/>
          <w:bCs/>
          <w:color w:val="000000" w:themeColor="text1"/>
          <w:kern w:val="0"/>
          <w:szCs w:val="22"/>
          <w:highlight w:val="yellow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 w:val="0"/>
          <w:bCs/>
          <w:color w:val="000000" w:themeColor="text1"/>
          <w:kern w:val="0"/>
          <w:szCs w:val="22"/>
          <w:highlight w:val="yellow"/>
          <w14:textFill>
            <w14:solidFill>
              <w14:schemeClr w14:val="tx1"/>
            </w14:solidFill>
          </w14:textFill>
        </w:rPr>
        <w:t>请让我司看到贵司的承运能力和车辆信息，谢谢</w:t>
      </w:r>
      <w:r>
        <w:rPr>
          <w:rFonts w:hint="eastAsia" w:asciiTheme="minorEastAsia" w:hAnsiTheme="minorEastAsia" w:eastAsiaTheme="minorEastAsia"/>
          <w:b w:val="0"/>
          <w:bCs/>
          <w:color w:val="000000" w:themeColor="text1"/>
          <w:kern w:val="0"/>
          <w:szCs w:val="22"/>
          <w:highlight w:val="yellow"/>
          <w:lang w:eastAsia="zh-CN"/>
          <w14:textFill>
            <w14:solidFill>
              <w14:schemeClr w14:val="tx1"/>
            </w14:solidFill>
          </w14:textFill>
        </w:rPr>
        <w:t>！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/>
          <w:b w:val="0"/>
          <w:bCs/>
          <w:color w:val="000000" w:themeColor="text1"/>
          <w:kern w:val="0"/>
          <w:szCs w:val="22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 w:val="0"/>
          <w:bCs/>
          <w:color w:val="000000" w:themeColor="text1"/>
          <w:kern w:val="0"/>
          <w:szCs w:val="22"/>
          <w:highlight w:val="none"/>
          <w14:textFill>
            <w14:solidFill>
              <w14:schemeClr w14:val="tx1"/>
            </w14:solidFill>
          </w14:textFill>
        </w:rPr>
        <w:t>承运方式：是有足够的自有车辆承运，还是网络平台发布运输信息找车运输，还是有足够固定合作车队及个人司机承运，或者其他方式。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可以详细提供贵司的简介和其他资质证明，负责人和操作人的联系方式，自有车辆（车型的长度和种类，平板还是栏板，数量等）、合作车辆等信息。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能承运的车辆要求（满足不了我司与客户处装卸条件的车辆不算，比如两侧打不开的厢式车装不了长直管，或者小客户工厂的大门进不去大车）：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①自有车辆，可以转移到海亮各生产基地附近来承运的那些车辆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②合作车辆，在基地附近（50公里以内的，请考虑这些车辆可能本来就在给海亮运输，只不过这些司机挂靠在已经与海亮签约的车队，你是否有实力抢过来利用）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③合作车辆，离基地较远（50公里以外的，请考虑这些车辆的运输时效和成本，等运输计划来了后，多久才能到我司工厂装运，以及如何应对运输计划变更）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负责人为贵司有权招投标、以及合作过程中出现问题有权决策的人，需要做决定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，此人必须明确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操作人为合作过程中与我司进行日常业务对接的人，需要清楚装货送货流程。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/>
          <w:b/>
          <w:bCs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bCs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招投标的具体流程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如果贵司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的报名邮件通过了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审核，我司会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主动联系贵司的负责人；或者贵司也可主动约时间到海亮总部（浙江省诸暨市店口镇解放路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val="en-US" w:eastAsia="zh-CN"/>
          <w14:textFill>
            <w14:solidFill>
              <w14:schemeClr w14:val="tx1"/>
            </w14:solidFill>
          </w14:textFill>
        </w:rPr>
        <w:t>386号海亮集团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）见面细谈，推荐面谈。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请接受我公司的投标流程和文化，我司由浙江海亮股份有限公司总部统一管理物流招标，各分公司、分厂不设置物流专员，因此各分公司、分厂不设置专人接待，凡是来投标的单位，一切问题都需联系股份总部来解答，产品种类都可以在店口厂区看到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具体流程：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/>
          <w:color w:val="000000" w:themeColor="text1"/>
          <w:kern w:val="0"/>
          <w:szCs w:val="22"/>
          <w:highlight w:val="yellow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highlight w:val="yellow"/>
          <w:lang w:val="en-US" w:eastAsia="zh-CN"/>
          <w14:textFill>
            <w14:solidFill>
              <w14:schemeClr w14:val="tx1"/>
            </w14:solidFill>
          </w14:textFill>
        </w:rPr>
        <w:t>一、7-9月份：前期洽谈。（如果9月1日以前还未联系和缴纳保证金，原则上不再接待）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0" w:leftChars="0" w:firstLine="0" w:firstLineChars="0"/>
        <w:textAlignment w:val="auto"/>
        <w:rPr>
          <w:rFonts w:hint="default" w:asciiTheme="minorEastAsia" w:hAnsiTheme="minorEastAsia" w:eastAsiaTheme="minorEastAsia"/>
          <w:color w:val="000000" w:themeColor="text1"/>
          <w:kern w:val="0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val="en-US" w:eastAsia="zh-CN"/>
          <w14:textFill>
            <w14:solidFill>
              <w14:schemeClr w14:val="tx1"/>
            </w14:solidFill>
          </w14:textFill>
        </w:rPr>
        <w:t>凡是来联系的物流公司，如果在与我司接洽后确定参与投标，需先支付投标费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u w:val="single" w:color="auto"/>
          <w:lang w:val="en-US" w:eastAsia="zh-CN"/>
          <w14:textFill>
            <w14:solidFill>
              <w14:schemeClr w14:val="tx1"/>
            </w14:solidFill>
          </w14:textFill>
        </w:rPr>
        <w:t>500元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val="en-US" w:eastAsia="zh-CN"/>
          <w14:textFill>
            <w14:solidFill>
              <w14:schemeClr w14:val="tx1"/>
            </w14:solidFill>
          </w14:textFill>
        </w:rPr>
        <w:t>，用作介绍海亮的运输情况、提供必要的运输资料进行参考与报价、正式标书发放等用途，500元不予退还，请知悉。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0" w:leftChars="0"/>
        <w:textAlignment w:val="auto"/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val="en-US" w:eastAsia="zh-CN"/>
          <w14:textFill>
            <w14:solidFill>
              <w14:schemeClr w14:val="tx1"/>
            </w14:solidFill>
          </w14:textFill>
        </w:rPr>
        <w:t>汇款信息如下，收款人：浙江海亮股份有限公司，开户行：中国建设银行股份有限公司诸暨店口支行；账号：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u w:val="single" w:color="auto"/>
          <w:lang w:val="en-US" w:eastAsia="zh-CN"/>
          <w14:textFill>
            <w14:solidFill>
              <w14:schemeClr w14:val="tx1"/>
            </w14:solidFill>
          </w14:textFill>
        </w:rPr>
        <w:t>33001656344056888888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0" w:leftChars="0" w:firstLine="0" w:firstLineChars="0"/>
        <w:textAlignment w:val="auto"/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val="en-US" w:eastAsia="zh-CN"/>
          <w14:textFill>
            <w14:solidFill>
              <w14:schemeClr w14:val="tx1"/>
            </w14:solidFill>
          </w14:textFill>
        </w:rPr>
        <w:t>根据报名时填写的运输线路编号，通过双方的进一步沟通，确定实际的详细的投标线路（即正式投标时填写报价的线路）。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kern w:val="0"/>
          <w:szCs w:val="22"/>
          <w:lang w:val="en-US" w:eastAsia="zh-CN"/>
          <w14:textFill>
            <w14:solidFill>
              <w14:schemeClr w14:val="tx1"/>
            </w14:solidFill>
          </w14:textFill>
        </w:rPr>
        <w:t>此时，贵司必须了解对应的投标线路中的除了运价以外的所有其他标准，如果贵司不提出异议，中标后将沿用我司的上一年度的合同条款和标准。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0" w:leftChars="0" w:firstLine="0" w:firstLineChars="0"/>
        <w:textAlignment w:val="auto"/>
        <w:rPr>
          <w:rFonts w:hint="default" w:asciiTheme="minorEastAsia" w:hAnsiTheme="minorEastAsia" w:eastAsiaTheme="minorEastAsia"/>
          <w:color w:val="000000" w:themeColor="text1"/>
          <w:kern w:val="0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val="en-US" w:eastAsia="zh-CN"/>
          <w14:textFill>
            <w14:solidFill>
              <w14:schemeClr w14:val="tx1"/>
            </w14:solidFill>
          </w14:textFill>
        </w:rPr>
        <w:t>我司提供对应线路的运价表，贵司模拟报价，初审。</w:t>
      </w:r>
      <w:r>
        <w:rPr>
          <w:rFonts w:hint="eastAsia" w:asciiTheme="minorEastAsia" w:hAnsiTheme="minorEastAsia" w:eastAsiaTheme="minorEastAsia"/>
          <w:b w:val="0"/>
          <w:bCs w:val="0"/>
          <w:color w:val="000000" w:themeColor="text1"/>
          <w:kern w:val="0"/>
          <w:szCs w:val="22"/>
          <w:lang w:val="en-US" w:eastAsia="zh-CN"/>
          <w14:textFill>
            <w14:solidFill>
              <w14:schemeClr w14:val="tx1"/>
            </w14:solidFill>
          </w14:textFill>
        </w:rPr>
        <w:t>如果价格没有特别大的偏差，则有投标资格。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0" w:leftChars="0" w:firstLine="0" w:firstLineChars="0"/>
        <w:textAlignment w:val="auto"/>
        <w:rPr>
          <w:rFonts w:hint="default" w:asciiTheme="minorEastAsia" w:hAnsiTheme="minorEastAsia" w:eastAsiaTheme="minorEastAsia"/>
          <w:color w:val="000000" w:themeColor="text1"/>
          <w:kern w:val="0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val="en-US" w:eastAsia="zh-CN"/>
          <w14:textFill>
            <w14:solidFill>
              <w14:schemeClr w14:val="tx1"/>
            </w14:solidFill>
          </w14:textFill>
        </w:rPr>
        <w:t>正式确定投标资格，确定资格后的7个工作日内打投标保证金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u w:val="single" w:color="auto"/>
          <w:lang w:val="en-US" w:eastAsia="zh-CN"/>
          <w14:textFill>
            <w14:solidFill>
              <w14:schemeClr w14:val="tx1"/>
            </w14:solidFill>
          </w14:textFill>
        </w:rPr>
        <w:t>50000元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val="en-US" w:eastAsia="zh-CN"/>
          <w14:textFill>
            <w14:solidFill>
              <w14:schemeClr w14:val="tx1"/>
            </w14:solidFill>
          </w14:textFill>
        </w:rPr>
        <w:t>到海亮股份的建行账户，并提供汇款凭证。注：未及时打投标保证金的视为主动放弃，投标保证金在正式投标后，如果没有中标，则退还投标保证金。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/>
          <w:color w:val="000000" w:themeColor="text1"/>
          <w:kern w:val="0"/>
          <w:szCs w:val="22"/>
          <w:highlight w:val="yellow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highlight w:val="yellow"/>
          <w:lang w:val="en-US" w:eastAsia="zh-CN"/>
          <w14:textFill>
            <w14:solidFill>
              <w14:schemeClr w14:val="tx1"/>
            </w14:solidFill>
          </w14:textFill>
        </w:rPr>
        <w:t>二、10月份：正式投标。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Theme="minorEastAsia" w:hAnsiTheme="minorEastAsia" w:eastAsiaTheme="minorEastAsia"/>
          <w:color w:val="000000" w:themeColor="text1"/>
          <w:kern w:val="0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   凡是经过前期洽谈，按照正常流程进入正式投标环节的，将会在9月底或者10月初收到正式标书（投标邀请函和报价表），按照投标邀请函的内容准备投标即可。根据基地的不同，具体投标时间、地点都在会邀请函中列明（如果未列明，我司物流部会电话或微信通知）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b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、注意事项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1、原则上按照每吨报价，如果一车装载多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票货物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的，按照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该车装载的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总重量对应的运价结算运费。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316" w:firstLineChars="150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FF0000"/>
          <w:kern w:val="0"/>
          <w:szCs w:val="22"/>
        </w:rPr>
        <w:t>投标比价的内容为</w:t>
      </w:r>
      <w:r>
        <w:rPr>
          <w:rFonts w:hint="eastAsia" w:asciiTheme="minorEastAsia" w:hAnsiTheme="minorEastAsia" w:eastAsiaTheme="minorEastAsia"/>
          <w:b/>
          <w:color w:val="FF0000"/>
          <w:kern w:val="0"/>
          <w:szCs w:val="22"/>
          <w:lang w:eastAsia="zh-CN"/>
        </w:rPr>
        <w:t>产品</w:t>
      </w:r>
      <w:r>
        <w:rPr>
          <w:rFonts w:hint="eastAsia" w:asciiTheme="minorEastAsia" w:hAnsiTheme="minorEastAsia" w:eastAsiaTheme="minorEastAsia"/>
          <w:b/>
          <w:color w:val="FF0000"/>
          <w:kern w:val="0"/>
          <w:szCs w:val="22"/>
        </w:rPr>
        <w:t>运价和原材料运价，所以退料包材、提送费、多点卸货费、装卸费、装车方式等标准需要按照</w:t>
      </w:r>
      <w:r>
        <w:rPr>
          <w:rFonts w:hint="eastAsia" w:asciiTheme="minorEastAsia" w:hAnsiTheme="minorEastAsia" w:eastAsiaTheme="minorEastAsia"/>
          <w:b/>
          <w:color w:val="FF0000"/>
          <w:kern w:val="0"/>
          <w:szCs w:val="22"/>
          <w:lang w:eastAsia="zh-CN"/>
        </w:rPr>
        <w:t>上一年度的</w:t>
      </w:r>
      <w:r>
        <w:rPr>
          <w:rFonts w:hint="eastAsia" w:asciiTheme="minorEastAsia" w:hAnsiTheme="minorEastAsia" w:eastAsiaTheme="minorEastAsia"/>
          <w:b/>
          <w:color w:val="FF0000"/>
          <w:kern w:val="0"/>
          <w:szCs w:val="22"/>
        </w:rPr>
        <w:t>标准执行，以示公平。</w:t>
      </w:r>
      <w:r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 xml:space="preserve">   如确实有特殊要求，请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在标书中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备注说明，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我司在评标时会特殊考虑，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否则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中标公司签订的合同条款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按照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我司上一年度的现有的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标准执行。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315" w:firstLineChars="150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注意：退货退料、包装物回收（谁的中标线路谁负责）不单独招标。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315" w:firstLineChars="150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运费月结，电汇。流程：贵司于次月初提供上个月的签收凭证和运费清单，我司审核无误后通知开票，见票后20天内打款。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b w:val="0"/>
          <w:bCs w:val="0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2、中标线路由贵</w:t>
      </w:r>
      <w:r>
        <w:rPr>
          <w:rFonts w:hint="eastAsia" w:asciiTheme="minorEastAsia" w:hAnsiTheme="minorEastAsia" w:eastAsiaTheme="minorEastAsia"/>
          <w:b w:val="0"/>
          <w:bCs w:val="0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司全部承运，车型要求：9</w:t>
      </w:r>
      <w:r>
        <w:rPr>
          <w:rFonts w:hint="eastAsia" w:asciiTheme="minorEastAsia" w:hAnsiTheme="minorEastAsia" w:eastAsiaTheme="minorEastAsia"/>
          <w:b w:val="0"/>
          <w:bCs w:val="0"/>
          <w:color w:val="000000" w:themeColor="text1"/>
          <w:kern w:val="0"/>
          <w:szCs w:val="22"/>
          <w:lang w:val="en-US" w:eastAsia="zh-CN"/>
          <w14:textFill>
            <w14:solidFill>
              <w14:schemeClr w14:val="tx1"/>
            </w14:solidFill>
          </w14:textFill>
        </w:rPr>
        <w:t>.6</w:t>
      </w:r>
      <w:r>
        <w:rPr>
          <w:rFonts w:hint="eastAsia" w:asciiTheme="minorEastAsia" w:hAnsiTheme="minorEastAsia" w:eastAsiaTheme="minorEastAsia"/>
          <w:b w:val="0"/>
          <w:bCs w:val="0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米</w:t>
      </w:r>
      <w:r>
        <w:rPr>
          <w:rFonts w:hint="eastAsia" w:asciiTheme="minorEastAsia" w:hAnsiTheme="minorEastAsia" w:eastAsiaTheme="minorEastAsia"/>
          <w:b w:val="0"/>
          <w:bCs w:val="0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及以下</w:t>
      </w:r>
      <w:r>
        <w:rPr>
          <w:rFonts w:hint="eastAsia" w:asciiTheme="minorEastAsia" w:hAnsiTheme="minorEastAsia" w:eastAsiaTheme="minorEastAsia"/>
          <w:b w:val="0"/>
          <w:bCs w:val="0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长的货车和13、17米挂车，栏板、平板车或者飞翼车（厢式车需求很少几乎没有）</w:t>
      </w:r>
      <w:r>
        <w:rPr>
          <w:rFonts w:hint="eastAsia" w:asciiTheme="minorEastAsia" w:hAnsiTheme="minorEastAsia" w:eastAsiaTheme="minorEastAsia"/>
          <w:b w:val="0"/>
          <w:bCs w:val="0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、其他特殊车型</w:t>
      </w:r>
      <w:r>
        <w:rPr>
          <w:rFonts w:hint="eastAsia" w:asciiTheme="minorEastAsia" w:hAnsiTheme="minorEastAsia" w:eastAsiaTheme="minorEastAsia"/>
          <w:b w:val="0"/>
          <w:bCs w:val="0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。客户比较集中的区域每天需要</w:t>
      </w:r>
      <w:r>
        <w:rPr>
          <w:rFonts w:hint="eastAsia" w:asciiTheme="minorEastAsia" w:hAnsiTheme="minorEastAsia" w:eastAsiaTheme="minorEastAsia"/>
          <w:b w:val="0"/>
          <w:bCs w:val="0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几十辆</w:t>
      </w:r>
      <w:r>
        <w:rPr>
          <w:rFonts w:hint="eastAsia" w:asciiTheme="minorEastAsia" w:hAnsiTheme="minorEastAsia" w:eastAsiaTheme="minorEastAsia"/>
          <w:b w:val="0"/>
          <w:bCs w:val="0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辆</w:t>
      </w:r>
      <w:r>
        <w:rPr>
          <w:rFonts w:hint="eastAsia" w:asciiTheme="minorEastAsia" w:hAnsiTheme="minorEastAsia" w:eastAsiaTheme="minorEastAsia"/>
          <w:b w:val="0"/>
          <w:bCs w:val="0"/>
          <w:color w:val="000000" w:themeColor="text1"/>
          <w:kern w:val="0"/>
          <w:szCs w:val="22"/>
          <w:lang w:val="en-US" w:eastAsia="zh-CN"/>
          <w14:textFill>
            <w14:solidFill>
              <w14:schemeClr w14:val="tx1"/>
            </w14:solidFill>
          </w14:textFill>
        </w:rPr>
        <w:t>9.6</w:t>
      </w:r>
      <w:r>
        <w:rPr>
          <w:rFonts w:hint="eastAsia" w:asciiTheme="minorEastAsia" w:hAnsiTheme="minorEastAsia" w:eastAsiaTheme="minorEastAsia"/>
          <w:b w:val="0"/>
          <w:bCs w:val="0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米</w:t>
      </w:r>
      <w:r>
        <w:rPr>
          <w:rFonts w:hint="eastAsia" w:asciiTheme="minorEastAsia" w:hAnsiTheme="minorEastAsia" w:eastAsiaTheme="minorEastAsia"/>
          <w:b w:val="0"/>
          <w:bCs w:val="0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及以下</w:t>
      </w:r>
      <w:r>
        <w:rPr>
          <w:rFonts w:hint="eastAsia" w:asciiTheme="minorEastAsia" w:hAnsiTheme="minorEastAsia" w:eastAsiaTheme="minorEastAsia"/>
          <w:b w:val="0"/>
          <w:bCs w:val="0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车型和多辆挂车。我司报运输计划后，贵司需要严格按照运输要求及时装货，及时安全送达。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b w:val="0"/>
          <w:bCs w:val="0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 w:val="0"/>
          <w:bCs w:val="0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3、运输要求：严格遵守合同条款和</w:t>
      </w:r>
      <w:r>
        <w:rPr>
          <w:rFonts w:hint="eastAsia" w:asciiTheme="minorEastAsia" w:hAnsiTheme="minorEastAsia" w:eastAsiaTheme="minorEastAsia"/>
          <w:b w:val="0"/>
          <w:bCs w:val="0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我司</w:t>
      </w:r>
      <w:r>
        <w:rPr>
          <w:rFonts w:hint="eastAsia" w:asciiTheme="minorEastAsia" w:hAnsiTheme="minorEastAsia" w:eastAsiaTheme="minorEastAsia"/>
          <w:b w:val="0"/>
          <w:bCs w:val="0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工厂</w:t>
      </w:r>
      <w:r>
        <w:rPr>
          <w:rFonts w:hint="eastAsia" w:asciiTheme="minorEastAsia" w:hAnsiTheme="minorEastAsia" w:eastAsiaTheme="minorEastAsia"/>
          <w:b w:val="0"/>
          <w:bCs w:val="0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Theme="minorEastAsia" w:hAnsiTheme="minorEastAsia" w:eastAsiaTheme="minorEastAsia"/>
          <w:b w:val="0"/>
          <w:bCs w:val="0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制度。每日订单以零担居多，海亮自己同方向但不同客户的订单需要先行拼车。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b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 w:val="0"/>
          <w:bCs w:val="0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拼车注意事项：如果我司没有注明车型要求，由贵司安排合适车型来装运。不同客户、不同产品之间要拼车的，要考虑产品的特性、长度、包装、重量等因素，也要考虑因为计划变更、取消而临时重新搭配拼车。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4、请关注产品特性，每日订单以零担为主，但很多路线只是海亮自己的货就能拼成整车，同方向同区域需拼车装运、多点卸货，请安排合适车型，实际所需车型根据具体线路定，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中标线路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越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多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，所需车型和要求越多。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5、中标线路上的所有货物都由中标车队负责，不得拒绝。请考虑退料、包装物的回收，如果无法回收，相当于无法满足要求。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6、请结合自身特点，比如短途或者专线是专车专送，长途走托运，请明确贵司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自己擅长的领域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。每一家物流公司，下属合作车辆都很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多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，如德邦、中铁等物流，但是当运价下来后，能吃得消做这个运价的司机就不一定有了，所以请认真对待报价，同时准备自有车辆应急。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7、如果起点到终点的路上行使时间在5小时以内的，很多会要求上午装下午到；运输计划原则上提前一天报，但会有很多当天计划当天装，运输计划内容变更或者取消运输的也会有很多，对车队的机动性要求很大。运输全年无休，无假节日，尤其春节期间，车辆需提前安排好。注意，运输计划受到客户货款、生产车间、销售控制等因素影响，只能尽可能控制运输计划的准确性，不能避免取消与变更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8、具体投标时间、地点、运输线路报价表以资质审核通过后的邀请函和报价表为准，报价表中的预计发货量只是预估量，具体以实际操作时的发货量为准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，我司不保证实际的量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9、每一个基地都需要有现场操作人员，请考虑人工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成本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，他也会影响报价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如果驻场人员经验丰富，合理安排运输计划后可以节约很多成本，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我司与客户处的装卸手续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也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需要贵司自行熟悉。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10、如果有网约车来装运，贵司已经跟司机约定好装货重量和价格，但出现运输计划变更、实际装运货物变多变少的，需要贵司有临场应变的能力，满足我司的运输要求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，不得闹事。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11、在我司的装货、卸货流程会比较固定，但目的地客户处的装卸流程情况不一、工作时间不固定，有简单有复杂，客户态度也有好有坏，需要贵司有较高的协调能力与司机管控，处理好装卸货与手续等问题。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Theme="minorEastAsia" w:hAnsiTheme="minorEastAsia" w:eastAsiaTheme="minorEastAsia"/>
          <w:color w:val="FF0000"/>
          <w:kern w:val="0"/>
          <w:szCs w:val="22"/>
          <w:lang w:val="en-US" w:eastAsia="zh-CN"/>
        </w:rPr>
      </w:pPr>
      <w:r>
        <w:rPr>
          <w:rFonts w:hint="eastAsia" w:asciiTheme="minorEastAsia" w:hAnsiTheme="minorEastAsia" w:eastAsiaTheme="minorEastAsia"/>
          <w:color w:val="FF0000"/>
          <w:kern w:val="0"/>
          <w:szCs w:val="22"/>
        </w:rPr>
        <w:t>12、贵司要解决的问题是：1、无论怎么样的运输计划，都要及时提供合适车辆装运。成本费用在投标的时候已经定了，之后不能因为成本问题拒载。竞标的结果，运价肯定是控制在比较低的，所以社会车辆资源是否还会倾向贵司，请着重考虑，不要到时候没车承运。2、司机管控，</w:t>
      </w:r>
      <w:r>
        <w:rPr>
          <w:rFonts w:hint="eastAsia" w:asciiTheme="minorEastAsia" w:hAnsiTheme="minorEastAsia" w:eastAsiaTheme="minorEastAsia"/>
          <w:color w:val="FF0000"/>
          <w:kern w:val="0"/>
          <w:szCs w:val="22"/>
          <w:lang w:eastAsia="zh-CN"/>
        </w:rPr>
        <w:t>司机</w:t>
      </w:r>
      <w:r>
        <w:rPr>
          <w:rFonts w:hint="eastAsia" w:asciiTheme="minorEastAsia" w:hAnsiTheme="minorEastAsia" w:eastAsiaTheme="minorEastAsia"/>
          <w:color w:val="FF0000"/>
          <w:kern w:val="0"/>
          <w:szCs w:val="22"/>
        </w:rPr>
        <w:t>代表的是海亮，无论再不满意，司机只能找贵司或者海亮友好协商解决，不得在</w:t>
      </w:r>
      <w:r>
        <w:rPr>
          <w:rFonts w:hint="eastAsia" w:asciiTheme="minorEastAsia" w:hAnsiTheme="minorEastAsia" w:eastAsiaTheme="minorEastAsia"/>
          <w:color w:val="FF0000"/>
          <w:kern w:val="0"/>
          <w:szCs w:val="22"/>
          <w:lang w:eastAsia="zh-CN"/>
        </w:rPr>
        <w:t>海亮的</w:t>
      </w:r>
      <w:r>
        <w:rPr>
          <w:rFonts w:hint="eastAsia" w:asciiTheme="minorEastAsia" w:hAnsiTheme="minorEastAsia" w:eastAsiaTheme="minorEastAsia"/>
          <w:color w:val="FF0000"/>
          <w:kern w:val="0"/>
          <w:szCs w:val="22"/>
        </w:rPr>
        <w:t>客户处闹事。3、协调解决装货与卸货问题。无论是在我司装卸货，还是在客户处装卸货，都会碰到不能及时装卸、需要排队等候的情况，还有押车过夜。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Theme="minorEastAsia" w:hAnsiTheme="minorEastAsia" w:eastAsiaTheme="minorEastAsia"/>
          <w:b/>
          <w:color w:val="000000" w:themeColor="text1"/>
          <w:kern w:val="0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邮箱：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begin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instrText xml:space="preserve"> HYPERLINK "mailto:jianglei@hailiang.com" </w:instrTex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7"/>
          <w:rFonts w:hint="eastAsia" w:asciiTheme="minorEastAsia" w:hAnsiTheme="minorEastAsia" w:eastAsiaTheme="minorEastAsia"/>
          <w:b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jianglei@hailiang.com</w:t>
      </w:r>
      <w:r>
        <w:rPr>
          <w:rStyle w:val="7"/>
          <w:rFonts w:asciiTheme="minorEastAsia" w:hAnsiTheme="minorEastAsia" w:eastAsiaTheme="minorEastAsia"/>
          <w:b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fldChar w:fldCharType="end"/>
      </w:r>
      <w:r>
        <w:rPr>
          <w:rStyle w:val="7"/>
          <w:rFonts w:hint="eastAsia" w:asciiTheme="minorEastAsia" w:hAnsiTheme="minorEastAsia" w:eastAsiaTheme="minorEastAsia"/>
          <w:b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 xml:space="preserve">   </w:t>
      </w:r>
      <w:r>
        <w:rPr>
          <w:rStyle w:val="7"/>
          <w:rFonts w:hint="eastAsia" w:asciiTheme="minorEastAsia" w:hAnsiTheme="minorEastAsia" w:eastAsiaTheme="minorEastAsia"/>
          <w:b/>
          <w:color w:val="000000" w:themeColor="text1"/>
          <w:kern w:val="0"/>
          <w:szCs w:val="22"/>
          <w:u w:val="none"/>
          <w14:textFill>
            <w14:solidFill>
              <w14:schemeClr w14:val="tx1"/>
            </w14:solidFill>
          </w14:textFill>
        </w:rPr>
        <w:t xml:space="preserve">        </w:t>
      </w:r>
      <w:r>
        <w:rPr>
          <w:rStyle w:val="7"/>
          <w:rFonts w:hint="eastAsia" w:asciiTheme="minorEastAsia" w:hAnsiTheme="minorEastAsia" w:eastAsiaTheme="minorEastAsia"/>
          <w:b/>
          <w:color w:val="000000" w:themeColor="text1"/>
          <w:kern w:val="0"/>
          <w:szCs w:val="22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联系电话/QQ/微信：18888739932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Theme="minorEastAsia" w:hAnsiTheme="minorEastAsia" w:eastAsiaTheme="minorEastAsia"/>
          <w:b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地址：浙江省诸暨市店口镇解放路386号</w:t>
      </w: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海亮集团</w:t>
      </w: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 xml:space="preserve">   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/>
          <w:b/>
          <w:color w:val="000000" w:themeColor="text1"/>
          <w:kern w:val="0"/>
          <w:sz w:val="28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eastAsia" w:asciiTheme="minorEastAsia" w:hAnsiTheme="minorEastAsia" w:eastAsiaTheme="minorEastAsia"/>
          <w:b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请打印出来后盖章（加盖启封章），证明贵司已经了解清楚我司的上诉要求。如果之后按照投标流程汇了投标保证金，前来投标，则贵司会严格按照上诉要求执行，谢谢。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/>
          <w:b/>
          <w:color w:val="FF0000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贵公司授权的邮箱：</w:t>
      </w: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u w:val="single" w:color="auto"/>
          <w:lang w:val="en-US" w:eastAsia="zh-CN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；联系人：</w:t>
      </w: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u w:val="single" w:color="auto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；手机号：</w:t>
      </w: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u w:val="single" w:color="auto"/>
          <w:lang w:val="en-US" w:eastAsia="zh-CN"/>
          <w14:textFill>
            <w14:solidFill>
              <w14:schemeClr w14:val="tx1"/>
            </w14:solidFill>
          </w14:textFill>
        </w:rPr>
        <w:t xml:space="preserve">                </w:t>
      </w:r>
      <w:r>
        <w:rPr>
          <w:rFonts w:hint="eastAsia" w:asciiTheme="minorEastAsia" w:hAnsiTheme="minorEastAsia" w:eastAsiaTheme="minorEastAsia"/>
          <w:b/>
          <w:color w:val="FF0000"/>
          <w:kern w:val="0"/>
          <w:sz w:val="24"/>
          <w:szCs w:val="24"/>
          <w:lang w:val="en-US" w:eastAsia="zh-CN"/>
        </w:rPr>
        <w:t xml:space="preserve">    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/>
          <w:b/>
          <w:color w:val="FF0000"/>
          <w:kern w:val="0"/>
          <w:sz w:val="24"/>
          <w:szCs w:val="24"/>
          <w:lang w:val="en-US" w:eastAsia="zh-CN"/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341" w:firstLineChars="1900"/>
        <w:jc w:val="left"/>
        <w:textAlignment w:val="auto"/>
        <w:rPr>
          <w:rFonts w:hint="eastAsia" w:asciiTheme="minorEastAsia" w:hAnsiTheme="minorEastAsia" w:eastAsiaTheme="minorEastAsia"/>
          <w:b/>
          <w:color w:val="000000" w:themeColor="text1"/>
          <w:kern w:val="0"/>
          <w:sz w:val="28"/>
          <w:szCs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 w:val="28"/>
          <w:szCs w:val="22"/>
          <w:lang w:eastAsia="zh-CN"/>
          <w14:textFill>
            <w14:solidFill>
              <w14:schemeClr w14:val="tx1"/>
            </w14:solidFill>
          </w14:textFill>
        </w:rPr>
        <w:t>盖章：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341" w:firstLineChars="1900"/>
        <w:jc w:val="left"/>
        <w:textAlignment w:val="auto"/>
        <w:rPr>
          <w:rFonts w:hint="eastAsia" w:asciiTheme="minorEastAsia" w:hAnsiTheme="minorEastAsia" w:eastAsiaTheme="minorEastAsia"/>
          <w:b/>
          <w:color w:val="000000" w:themeColor="text1"/>
          <w:kern w:val="0"/>
          <w:sz w:val="28"/>
          <w:szCs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 w:val="28"/>
          <w:szCs w:val="22"/>
          <w:lang w:eastAsia="zh-CN"/>
          <w14:textFill>
            <w14:solidFill>
              <w14:schemeClr w14:val="tx1"/>
            </w14:solidFill>
          </w14:textFill>
        </w:rPr>
        <w:t>日期</w:t>
      </w:r>
      <w:bookmarkStart w:id="0" w:name="_GoBack"/>
      <w:bookmarkEnd w:id="0"/>
      <w:r>
        <w:rPr>
          <w:rFonts w:hint="eastAsia" w:asciiTheme="minorEastAsia" w:hAnsiTheme="minorEastAsia" w:eastAsiaTheme="minorEastAsia"/>
          <w:b/>
          <w:color w:val="000000" w:themeColor="text1"/>
          <w:kern w:val="0"/>
          <w:sz w:val="28"/>
          <w:szCs w:val="22"/>
          <w:lang w:eastAsia="zh-CN"/>
          <w14:textFill>
            <w14:solidFill>
              <w14:schemeClr w14:val="tx1"/>
            </w14:solidFill>
          </w14:textFill>
        </w:rPr>
        <w:t>：</w:t>
      </w:r>
    </w:p>
    <w:p>
      <w:pPr>
        <w:pStyle w:val="10"/>
        <w:jc w:val="left"/>
        <w:rPr>
          <w:rFonts w:hint="eastAsia" w:asciiTheme="minorEastAsia" w:hAnsiTheme="minorEastAsia" w:eastAsiaTheme="minorEastAsia"/>
          <w:b/>
          <w:color w:val="000000" w:themeColor="text1"/>
          <w:kern w:val="0"/>
          <w:sz w:val="28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"/>
        <w:jc w:val="left"/>
        <w:rPr>
          <w:rFonts w:hint="eastAsia" w:asciiTheme="minorEastAsia" w:hAnsiTheme="minorEastAsia" w:eastAsiaTheme="minorEastAsia"/>
          <w:b/>
          <w:color w:val="000000" w:themeColor="text1"/>
          <w:kern w:val="0"/>
          <w:sz w:val="28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"/>
        <w:jc w:val="left"/>
        <w:rPr>
          <w:rFonts w:hint="eastAsia" w:asciiTheme="minorEastAsia" w:hAnsiTheme="minorEastAsia" w:eastAsiaTheme="minorEastAsia"/>
          <w:b/>
          <w:color w:val="000000" w:themeColor="text1"/>
          <w:kern w:val="0"/>
          <w:sz w:val="28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"/>
        <w:jc w:val="left"/>
        <w:rPr>
          <w:rFonts w:hint="eastAsia" w:asciiTheme="minorEastAsia" w:hAnsiTheme="minorEastAsia" w:eastAsiaTheme="minorEastAsia"/>
          <w:b/>
          <w:color w:val="000000" w:themeColor="text1"/>
          <w:kern w:val="0"/>
          <w:sz w:val="28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"/>
        <w:jc w:val="left"/>
        <w:rPr>
          <w:rFonts w:hint="eastAsia" w:asciiTheme="minorEastAsia" w:hAnsiTheme="minorEastAsia" w:eastAsiaTheme="minorEastAsia"/>
          <w:b/>
          <w:color w:val="000000" w:themeColor="text1"/>
          <w:kern w:val="0"/>
          <w:sz w:val="28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"/>
        <w:jc w:val="left"/>
        <w:rPr>
          <w:rFonts w:hint="eastAsia" w:asciiTheme="minorEastAsia" w:hAnsiTheme="minorEastAsia" w:eastAsiaTheme="minorEastAsia"/>
          <w:b/>
          <w:color w:val="000000" w:themeColor="text1"/>
          <w:kern w:val="0"/>
          <w:sz w:val="28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"/>
        <w:jc w:val="left"/>
        <w:rPr>
          <w:rFonts w:hint="eastAsia" w:asciiTheme="minorEastAsia" w:hAnsiTheme="minorEastAsia" w:eastAsiaTheme="minorEastAsia"/>
          <w:b/>
          <w:color w:val="000000" w:themeColor="text1"/>
          <w:kern w:val="0"/>
          <w:sz w:val="28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"/>
        <w:jc w:val="left"/>
        <w:rPr>
          <w:rFonts w:hint="eastAsia" w:asciiTheme="minorEastAsia" w:hAnsiTheme="minorEastAsia" w:eastAsiaTheme="minorEastAsia"/>
          <w:b/>
          <w:color w:val="000000" w:themeColor="text1"/>
          <w:kern w:val="0"/>
          <w:sz w:val="28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"/>
        <w:jc w:val="left"/>
        <w:rPr>
          <w:rFonts w:asciiTheme="minorEastAsia" w:hAnsiTheme="minorEastAsia" w:eastAsiaTheme="minorEastAsia"/>
          <w:b/>
          <w:color w:val="000000" w:themeColor="text1"/>
          <w:kern w:val="0"/>
          <w:sz w:val="28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 w:val="28"/>
          <w:szCs w:val="22"/>
          <w14:textFill>
            <w14:solidFill>
              <w14:schemeClr w14:val="tx1"/>
            </w14:solidFill>
          </w14:textFill>
        </w:rPr>
        <w:t>产品简介</w:t>
      </w:r>
    </w:p>
    <w:p>
      <w:pPr>
        <w:pStyle w:val="14"/>
        <w:numPr>
          <w:ilvl w:val="0"/>
          <w:numId w:val="4"/>
        </w:numPr>
        <w:ind w:firstLineChars="0"/>
      </w:pPr>
      <w:r>
        <w:rPr>
          <w:rFonts w:hint="eastAsia"/>
        </w:rPr>
        <w:t>盘管（体积：大部分底面积</w:t>
      </w:r>
      <w:r>
        <w:t>1.1</w:t>
      </w:r>
      <w:r>
        <w:rPr>
          <w:rFonts w:hint="eastAsia"/>
        </w:rPr>
        <w:t>米</w:t>
      </w:r>
      <w:r>
        <w:t>*1.1</w:t>
      </w:r>
      <w:r>
        <w:rPr>
          <w:rFonts w:hint="eastAsia"/>
        </w:rPr>
        <w:t>米，高度不等，一般最高</w:t>
      </w:r>
      <w:r>
        <w:t>6-7</w:t>
      </w:r>
      <w:r>
        <w:rPr>
          <w:rFonts w:hint="eastAsia"/>
        </w:rPr>
        <w:t>层比人还高；重量：平均毛重</w:t>
      </w:r>
      <w:r>
        <w:t>700-800</w:t>
      </w:r>
      <w:r>
        <w:rPr>
          <w:rFonts w:hint="eastAsia"/>
        </w:rPr>
        <w:t>公斤，重的有</w:t>
      </w:r>
      <w:r>
        <w:t>1</w:t>
      </w:r>
      <w:r>
        <w:rPr>
          <w:rFonts w:hint="eastAsia"/>
        </w:rPr>
        <w:t>吨，工艺好的轻的可能只有五、六百公斤；我司会不断改进盘管的包装形式，一旦包装变更，就会改变底面积和单拖重量）</w:t>
      </w:r>
    </w:p>
    <w:p>
      <w:r>
        <w:rPr>
          <w:lang w:eastAsia="zh-CN"/>
        </w:rPr>
        <w:drawing>
          <wp:inline distT="0" distB="0" distL="0" distR="0">
            <wp:extent cx="2178050" cy="2899410"/>
            <wp:effectExtent l="0" t="0" r="12700" b="15240"/>
            <wp:docPr id="18" name="图片 18" descr="说明: D:\Documents and Settings\88505059\桌面\QQ图片20171219160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说明: D:\Documents and Settings\88505059\桌面\QQ图片201712191607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78050" cy="289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lang w:eastAsia="zh-CN"/>
        </w:rPr>
        <w:drawing>
          <wp:inline distT="0" distB="0" distL="0" distR="0">
            <wp:extent cx="2090420" cy="2941955"/>
            <wp:effectExtent l="0" t="0" r="5080" b="1079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0420" cy="294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lang w:eastAsia="zh-CN"/>
        </w:rPr>
        <w:drawing>
          <wp:inline distT="0" distB="0" distL="0" distR="0">
            <wp:extent cx="3858260" cy="2099310"/>
            <wp:effectExtent l="0" t="0" r="8890" b="1524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58260" cy="209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zh-CN"/>
        </w:rPr>
        <w:drawing>
          <wp:inline distT="0" distB="0" distL="0" distR="0">
            <wp:extent cx="1703070" cy="2068830"/>
            <wp:effectExtent l="0" t="0" r="11430" b="762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3070" cy="206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zh-CN"/>
        </w:rPr>
        <w:drawing>
          <wp:inline distT="0" distB="0" distL="0" distR="0">
            <wp:extent cx="2070735" cy="2518410"/>
            <wp:effectExtent l="0" t="0" r="571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0817" cy="2518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zh-CN"/>
        </w:rPr>
        <w:drawing>
          <wp:inline distT="0" distB="0" distL="0" distR="0">
            <wp:extent cx="1193800" cy="2392680"/>
            <wp:effectExtent l="0" t="0" r="6350" b="7620"/>
            <wp:docPr id="13" name="图片 13" descr="说明: C:\Users\88505059\AppData\Local\Temp\WeChat Files\5bc14c94cc652ea2c869776ebe86e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说明: C:\Users\88505059\AppData\Local\Temp\WeChat Files\5bc14c94cc652ea2c869776ebe86e3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3800" cy="239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zh-CN"/>
        </w:rPr>
        <w:drawing>
          <wp:inline distT="0" distB="0" distL="0" distR="0">
            <wp:extent cx="2708910" cy="2769235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8910" cy="276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4"/>
        <w:numPr>
          <w:ilvl w:val="0"/>
          <w:numId w:val="4"/>
        </w:numPr>
        <w:ind w:firstLineChars="0"/>
      </w:pPr>
      <w:r>
        <w:rPr>
          <w:rFonts w:hint="eastAsia"/>
        </w:rPr>
        <w:t>直管（空心管子，规格种类多，但直径也就几厘米，长度长短不一，几米甚至十几米长都有，但是不会超过最大货车长度，相同体积比盘管重）</w:t>
      </w:r>
    </w:p>
    <w:p>
      <w:pPr>
        <w:pStyle w:val="14"/>
        <w:numPr>
          <w:ilvl w:val="0"/>
          <w:numId w:val="4"/>
        </w:numPr>
        <w:ind w:firstLineChars="0"/>
      </w:pPr>
      <w:r>
        <w:drawing>
          <wp:inline distT="0" distB="0" distL="0" distR="0">
            <wp:extent cx="2311400" cy="2720975"/>
            <wp:effectExtent l="0" t="0" r="0" b="317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1738" cy="2721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>
            <wp:extent cx="2346325" cy="270891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6325" cy="270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4"/>
        <w:numPr>
          <w:ilvl w:val="0"/>
          <w:numId w:val="4"/>
        </w:numPr>
        <w:ind w:firstLineChars="0"/>
      </w:pPr>
      <w:r>
        <w:rPr>
          <w:rFonts w:hint="eastAsia"/>
        </w:rPr>
        <w:t>铝管（基本如图中那样的包装，但是包装长度会根据实际产品来，有些包装长度较长）</w:t>
      </w:r>
      <w:r>
        <w:drawing>
          <wp:inline distT="0" distB="0" distL="0" distR="0">
            <wp:extent cx="2475865" cy="2289175"/>
            <wp:effectExtent l="0" t="0" r="635" b="15875"/>
            <wp:docPr id="9" name="图片 9" descr="说明: E:\AmiLio_Rui办公用2-1\海亮制度、开票资料等\_________PIC\货物图片\铝管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说明: E:\AmiLio_Rui办公用2-1\海亮制度、开票资料等\_________PIC\货物图片\铝管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5865" cy="228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>
            <wp:extent cx="2225040" cy="2333625"/>
            <wp:effectExtent l="0" t="0" r="381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5692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4"/>
        <w:numPr>
          <w:ilvl w:val="0"/>
          <w:numId w:val="4"/>
        </w:numPr>
        <w:ind w:firstLineChars="0"/>
      </w:pPr>
      <w:r>
        <w:rPr>
          <w:rFonts w:hint="eastAsia"/>
        </w:rPr>
        <w:t>铜棒（实心铜棒，跟直管一样，只不过变成实心的。规格种类多，但直径也就几厘米，长度长短不一，几米甚至十几米长都有，但是不会超过最大货车长度，相同体积比盘管、直管重）</w:t>
      </w:r>
    </w:p>
    <w:p>
      <w:pPr>
        <w:pStyle w:val="14"/>
        <w:numPr>
          <w:ilvl w:val="0"/>
          <w:numId w:val="4"/>
        </w:numPr>
        <w:ind w:firstLineChars="0"/>
      </w:pPr>
      <w:r>
        <w:rPr>
          <w:rFonts w:hint="eastAsia"/>
        </w:rPr>
        <w:t>铜排（跟管子一样，只不过是扁平了）</w:t>
      </w:r>
    </w:p>
    <w:p>
      <w:r>
        <w:rPr>
          <w:lang w:eastAsia="zh-CN"/>
        </w:rPr>
        <w:drawing>
          <wp:inline distT="0" distB="0" distL="0" distR="0">
            <wp:extent cx="1851025" cy="2291715"/>
            <wp:effectExtent l="0" t="0" r="15875" b="133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29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zh-CN"/>
        </w:rPr>
        <w:drawing>
          <wp:inline distT="0" distB="0" distL="0" distR="0">
            <wp:extent cx="1835150" cy="2385060"/>
            <wp:effectExtent l="0" t="0" r="12700" b="1524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35150" cy="238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pStyle w:val="14"/>
        <w:numPr>
          <w:ilvl w:val="0"/>
          <w:numId w:val="4"/>
        </w:numPr>
        <w:ind w:firstLineChars="0"/>
      </w:pPr>
      <w:r>
        <w:rPr>
          <w:rFonts w:hint="eastAsia"/>
        </w:rPr>
        <w:t>其他特殊货物（管件类、设备类、保温管、不规则铜制品、退货退料、包材、铁箱、木箱等等，量少，运输次数不频繁）</w:t>
      </w:r>
    </w:p>
    <w:p>
      <w:pPr>
        <w:rPr>
          <w:lang w:eastAsia="zh-CN"/>
        </w:rPr>
      </w:pPr>
    </w:p>
    <w:p>
      <w:r>
        <w:rPr>
          <w:rFonts w:hint="eastAsia"/>
        </w:rPr>
        <w:t>铜棒回料（铜沫）</w:t>
      </w:r>
    </w:p>
    <w:p>
      <w:r>
        <w:rPr>
          <w:lang w:eastAsia="zh-CN"/>
        </w:rPr>
        <w:drawing>
          <wp:inline distT="0" distB="0" distL="0" distR="0">
            <wp:extent cx="3073400" cy="1570355"/>
            <wp:effectExtent l="0" t="0" r="12700" b="1079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73400" cy="157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废铜管（回料）</w:t>
      </w:r>
    </w:p>
    <w:p>
      <w:pPr>
        <w:rPr>
          <w:rFonts w:ascii="宋体" w:hAnsi="宋体" w:cs="宋体"/>
        </w:rPr>
      </w:pPr>
      <w:r>
        <w:rPr>
          <w:rFonts w:ascii="宋体" w:hAnsi="宋体" w:cs="宋体"/>
          <w:lang w:eastAsia="zh-CN"/>
        </w:rPr>
        <w:drawing>
          <wp:inline distT="0" distB="0" distL="0" distR="0">
            <wp:extent cx="3068320" cy="1976120"/>
            <wp:effectExtent l="0" t="0" r="17780" b="5080"/>
            <wp:docPr id="3" name="图片 3" descr="说明: D:\qq\聊天记录\568250625\Image\Group\Image4\VHMON$_`%I9LM55`}N9OWV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说明: D:\qq\聊天记录\568250625\Image\Group\Image4\VHMON$_`%I9LM55`}N9OWVI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8320" cy="197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Theme="minorHAnsi" w:hAnsiTheme="minorHAnsi" w:eastAsiaTheme="minorEastAsia" w:cstheme="minorBidi"/>
          <w:kern w:val="2"/>
          <w:sz w:val="21"/>
          <w:szCs w:val="22"/>
        </w:rPr>
      </w:pPr>
    </w:p>
    <w:p>
      <w:pPr>
        <w:rPr>
          <w:lang w:eastAsia="zh-CN"/>
        </w:rPr>
      </w:pPr>
      <w:r>
        <w:rPr>
          <w:rFonts w:hint="eastAsia"/>
          <w:lang w:eastAsia="zh-CN"/>
        </w:rPr>
        <w:t>木盘片、木托架（包材回收）</w:t>
      </w:r>
    </w:p>
    <w:p>
      <w:r>
        <w:rPr>
          <w:lang w:eastAsia="zh-CN"/>
        </w:rPr>
        <w:drawing>
          <wp:inline distT="0" distB="0" distL="0" distR="0">
            <wp:extent cx="4250055" cy="2086610"/>
            <wp:effectExtent l="0" t="0" r="17145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0055" cy="208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jc w:val="left"/>
      </w:pPr>
      <w:r>
        <w:drawing>
          <wp:inline distT="0" distB="0" distL="114300" distR="114300">
            <wp:extent cx="5673725" cy="1489075"/>
            <wp:effectExtent l="0" t="0" r="3175" b="1587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73725" cy="148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jc w:val="left"/>
      </w:pPr>
    </w:p>
    <w:p>
      <w:pPr>
        <w:pStyle w:val="10"/>
        <w:jc w:val="left"/>
      </w:pPr>
    </w:p>
    <w:p>
      <w:pPr>
        <w:pStyle w:val="10"/>
        <w:jc w:val="left"/>
      </w:pPr>
    </w:p>
    <w:sectPr>
      <w:headerReference r:id="rId3" w:type="default"/>
      <w:footerReference r:id="rId4" w:type="default"/>
      <w:pgSz w:w="11900" w:h="16840"/>
      <w:pgMar w:top="816" w:right="850" w:bottom="816" w:left="850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tabs>
        <w:tab w:val="right" w:pos="8280"/>
        <w:tab w:val="clear" w:pos="9020"/>
      </w:tabs>
      <w:rPr>
        <w:rFonts w:ascii="Times New Roman" w:hAnsi="Times New Roman" w:eastAsia="Arial Unicode MS" w:cs="Times New Roman"/>
        <w:color w:val="auto"/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tabs>
        <w:tab w:val="right" w:pos="8280"/>
        <w:tab w:val="clear" w:pos="8306"/>
      </w:tabs>
      <w:rPr>
        <w:rFonts w:cs="Times New Roman"/>
        <w:color w:val="auto"/>
        <w:kern w:val="0"/>
        <w:sz w:val="20"/>
        <w:szCs w:val="20"/>
      </w:rPr>
    </w:pPr>
    <w:r>
      <w:drawing>
        <wp:inline distT="0" distB="0" distL="0" distR="0">
          <wp:extent cx="6441440" cy="279400"/>
          <wp:effectExtent l="0" t="0" r="16510" b="5715"/>
          <wp:docPr id="1" name="图片 1" descr="3-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3-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41440" cy="2794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  <w:r>
      <w:t xml:space="preserve">    </w:t>
    </w:r>
    <w:r>
      <w:rPr>
        <w:lang w:val="zh-Hans" w:eastAsia="zh-Hans"/>
      </w:rPr>
      <w:t xml:space="preserve">                        </w:t>
    </w:r>
    <w:r>
      <w:t xml:space="preserve">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1F9ACC"/>
    <w:multiLevelType w:val="singleLevel"/>
    <w:tmpl w:val="BB1F9ACC"/>
    <w:lvl w:ilvl="0" w:tentative="0">
      <w:start w:val="1"/>
      <w:numFmt w:val="decimal"/>
      <w:suff w:val="nothing"/>
      <w:lvlText w:val="%1、"/>
      <w:lvlJc w:val="left"/>
      <w:pPr>
        <w:ind w:left="420" w:leftChars="0" w:firstLine="0" w:firstLineChars="0"/>
      </w:pPr>
    </w:lvl>
  </w:abstractNum>
  <w:abstractNum w:abstractNumId="1">
    <w:nsid w:val="2EFB18DA"/>
    <w:multiLevelType w:val="multilevel"/>
    <w:tmpl w:val="2EFB18DA"/>
    <w:lvl w:ilvl="0" w:tentative="0">
      <w:start w:val="1"/>
      <w:numFmt w:val="decimal"/>
      <w:lvlText w:val="%1、"/>
      <w:lvlJc w:val="left"/>
      <w:pPr>
        <w:ind w:left="360" w:hanging="36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4391C18"/>
    <w:multiLevelType w:val="multilevel"/>
    <w:tmpl w:val="34391C18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F4A9C57"/>
    <w:multiLevelType w:val="singleLevel"/>
    <w:tmpl w:val="4F4A9C5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ocumentProtection w:enforcement="0"/>
  <w:defaultTabStop w:val="420"/>
  <w:drawingGridHorizontalSpacing w:val="0"/>
  <w:drawingGridVerticalSpacing w:val="0"/>
  <w:displayHorizontalDrawingGridEvery w:val="1"/>
  <w:displayVerticalDrawingGridEvery w:val="1"/>
  <w:doNotUseMarginsForDrawingGridOrigin w:val="1"/>
  <w:drawingGridHorizontalOrigin w:val="0"/>
  <w:drawingGridVerticalOrigin w:val="0"/>
  <w:doNotShadeFormData w:val="1"/>
  <w:noPunctuationKerning w:val="1"/>
  <w:characterSpacingControl w:val="doNotCompress"/>
  <w:noLineBreaksAfter w:lang="zh-CN" w:val="‘“(〔[{〈《「『【⦅〘〖«〝︵︷︹︻︽︿﹁﹃﹇﹙﹛﹝｢"/>
  <w:noLineBreaksBefore w:lang="zh-CN" w:val="’”)〕]}〉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2ZmYxNDE4YzRhYTc0ODlhNjU2NWU4NGIyMTYyZTYifQ=="/>
  </w:docVars>
  <w:rsids>
    <w:rsidRoot w:val="004E5603"/>
    <w:rsid w:val="00003B50"/>
    <w:rsid w:val="00006849"/>
    <w:rsid w:val="00010AD6"/>
    <w:rsid w:val="000118D2"/>
    <w:rsid w:val="0001619F"/>
    <w:rsid w:val="000172A8"/>
    <w:rsid w:val="0003096B"/>
    <w:rsid w:val="00037D9E"/>
    <w:rsid w:val="000452DA"/>
    <w:rsid w:val="00045695"/>
    <w:rsid w:val="00046AF3"/>
    <w:rsid w:val="00054E08"/>
    <w:rsid w:val="00062C37"/>
    <w:rsid w:val="000712CE"/>
    <w:rsid w:val="00074265"/>
    <w:rsid w:val="000807DF"/>
    <w:rsid w:val="000814DE"/>
    <w:rsid w:val="00086D0E"/>
    <w:rsid w:val="00086D34"/>
    <w:rsid w:val="0009046B"/>
    <w:rsid w:val="00091DBF"/>
    <w:rsid w:val="0009279A"/>
    <w:rsid w:val="000A4234"/>
    <w:rsid w:val="000A453F"/>
    <w:rsid w:val="000B0548"/>
    <w:rsid w:val="000B3EDF"/>
    <w:rsid w:val="000B52F1"/>
    <w:rsid w:val="000C3E9A"/>
    <w:rsid w:val="000C5922"/>
    <w:rsid w:val="000C7B3F"/>
    <w:rsid w:val="000E0250"/>
    <w:rsid w:val="000E0AC9"/>
    <w:rsid w:val="000E52E2"/>
    <w:rsid w:val="000F0FA0"/>
    <w:rsid w:val="000F2F7C"/>
    <w:rsid w:val="000F7B05"/>
    <w:rsid w:val="001053C4"/>
    <w:rsid w:val="00111EF5"/>
    <w:rsid w:val="00117AD5"/>
    <w:rsid w:val="00117C59"/>
    <w:rsid w:val="00125879"/>
    <w:rsid w:val="001366FD"/>
    <w:rsid w:val="00141FBB"/>
    <w:rsid w:val="00145CC6"/>
    <w:rsid w:val="001466FD"/>
    <w:rsid w:val="00147247"/>
    <w:rsid w:val="00164FC8"/>
    <w:rsid w:val="001653EC"/>
    <w:rsid w:val="001658C5"/>
    <w:rsid w:val="00167F89"/>
    <w:rsid w:val="00182F71"/>
    <w:rsid w:val="00183B53"/>
    <w:rsid w:val="001915E5"/>
    <w:rsid w:val="00192AE7"/>
    <w:rsid w:val="00192C16"/>
    <w:rsid w:val="00193CC5"/>
    <w:rsid w:val="00193F01"/>
    <w:rsid w:val="001A1EB6"/>
    <w:rsid w:val="001A2896"/>
    <w:rsid w:val="001A2A31"/>
    <w:rsid w:val="001A4E74"/>
    <w:rsid w:val="001A5074"/>
    <w:rsid w:val="001A64BD"/>
    <w:rsid w:val="001B5B0E"/>
    <w:rsid w:val="001B6A26"/>
    <w:rsid w:val="001C092E"/>
    <w:rsid w:val="001C738D"/>
    <w:rsid w:val="001D0E0C"/>
    <w:rsid w:val="001D5DFD"/>
    <w:rsid w:val="001D6AAB"/>
    <w:rsid w:val="001E4B5A"/>
    <w:rsid w:val="001F1CBA"/>
    <w:rsid w:val="001F42ED"/>
    <w:rsid w:val="001F6FA4"/>
    <w:rsid w:val="001F75DB"/>
    <w:rsid w:val="00204AB5"/>
    <w:rsid w:val="00207DE6"/>
    <w:rsid w:val="0022720C"/>
    <w:rsid w:val="00230424"/>
    <w:rsid w:val="0024040F"/>
    <w:rsid w:val="00241243"/>
    <w:rsid w:val="0025174D"/>
    <w:rsid w:val="00251EC3"/>
    <w:rsid w:val="0025596C"/>
    <w:rsid w:val="00266E8A"/>
    <w:rsid w:val="0026708D"/>
    <w:rsid w:val="00274A76"/>
    <w:rsid w:val="00291E52"/>
    <w:rsid w:val="00293052"/>
    <w:rsid w:val="002A32AB"/>
    <w:rsid w:val="002A7733"/>
    <w:rsid w:val="002B5A1E"/>
    <w:rsid w:val="002C1379"/>
    <w:rsid w:val="002C2BC5"/>
    <w:rsid w:val="002C70A5"/>
    <w:rsid w:val="002D2B1D"/>
    <w:rsid w:val="002D2F32"/>
    <w:rsid w:val="002D3A52"/>
    <w:rsid w:val="002D6671"/>
    <w:rsid w:val="002D6973"/>
    <w:rsid w:val="002F1412"/>
    <w:rsid w:val="002F4340"/>
    <w:rsid w:val="002F710D"/>
    <w:rsid w:val="002F756E"/>
    <w:rsid w:val="00301DCC"/>
    <w:rsid w:val="00302DE5"/>
    <w:rsid w:val="00303EC0"/>
    <w:rsid w:val="00323FB4"/>
    <w:rsid w:val="00336EF1"/>
    <w:rsid w:val="003370A9"/>
    <w:rsid w:val="00341227"/>
    <w:rsid w:val="003413C0"/>
    <w:rsid w:val="00342E93"/>
    <w:rsid w:val="00343711"/>
    <w:rsid w:val="0034565B"/>
    <w:rsid w:val="0034773E"/>
    <w:rsid w:val="00351AF3"/>
    <w:rsid w:val="00361A8C"/>
    <w:rsid w:val="00365760"/>
    <w:rsid w:val="00371F15"/>
    <w:rsid w:val="00377C8F"/>
    <w:rsid w:val="00381A2A"/>
    <w:rsid w:val="00385B21"/>
    <w:rsid w:val="00385B27"/>
    <w:rsid w:val="00390CF3"/>
    <w:rsid w:val="00392980"/>
    <w:rsid w:val="00393CCF"/>
    <w:rsid w:val="003941AD"/>
    <w:rsid w:val="003A1E8E"/>
    <w:rsid w:val="003A2206"/>
    <w:rsid w:val="003C1F36"/>
    <w:rsid w:val="003C6120"/>
    <w:rsid w:val="003D103C"/>
    <w:rsid w:val="003D24CB"/>
    <w:rsid w:val="003D2944"/>
    <w:rsid w:val="003D7CAB"/>
    <w:rsid w:val="003F67AA"/>
    <w:rsid w:val="004033D0"/>
    <w:rsid w:val="0040687F"/>
    <w:rsid w:val="00406DA3"/>
    <w:rsid w:val="00414BEA"/>
    <w:rsid w:val="00420931"/>
    <w:rsid w:val="004257D0"/>
    <w:rsid w:val="0042615F"/>
    <w:rsid w:val="0042665B"/>
    <w:rsid w:val="00426AAB"/>
    <w:rsid w:val="00426E99"/>
    <w:rsid w:val="00433CB8"/>
    <w:rsid w:val="00442C4F"/>
    <w:rsid w:val="00447CA3"/>
    <w:rsid w:val="004625F3"/>
    <w:rsid w:val="00464B0E"/>
    <w:rsid w:val="00472824"/>
    <w:rsid w:val="004728DB"/>
    <w:rsid w:val="004815B3"/>
    <w:rsid w:val="00482C22"/>
    <w:rsid w:val="00485C72"/>
    <w:rsid w:val="00497E61"/>
    <w:rsid w:val="004B6645"/>
    <w:rsid w:val="004B695F"/>
    <w:rsid w:val="004C3FC6"/>
    <w:rsid w:val="004D7545"/>
    <w:rsid w:val="004E4D0D"/>
    <w:rsid w:val="004E5603"/>
    <w:rsid w:val="004E6F00"/>
    <w:rsid w:val="005023DD"/>
    <w:rsid w:val="00517F3F"/>
    <w:rsid w:val="00530633"/>
    <w:rsid w:val="00531092"/>
    <w:rsid w:val="0054416D"/>
    <w:rsid w:val="00555146"/>
    <w:rsid w:val="0057046C"/>
    <w:rsid w:val="005706A6"/>
    <w:rsid w:val="00573461"/>
    <w:rsid w:val="00580326"/>
    <w:rsid w:val="005828CD"/>
    <w:rsid w:val="0058711E"/>
    <w:rsid w:val="005A1864"/>
    <w:rsid w:val="005A21C2"/>
    <w:rsid w:val="005A360A"/>
    <w:rsid w:val="005B061B"/>
    <w:rsid w:val="005B1E67"/>
    <w:rsid w:val="005B2D3B"/>
    <w:rsid w:val="005B4622"/>
    <w:rsid w:val="005B7482"/>
    <w:rsid w:val="005C06FA"/>
    <w:rsid w:val="005C0D2C"/>
    <w:rsid w:val="005C167A"/>
    <w:rsid w:val="005C3B27"/>
    <w:rsid w:val="005C5400"/>
    <w:rsid w:val="005C5953"/>
    <w:rsid w:val="005C6AE7"/>
    <w:rsid w:val="005E191D"/>
    <w:rsid w:val="005E21C9"/>
    <w:rsid w:val="005F19DB"/>
    <w:rsid w:val="006045B0"/>
    <w:rsid w:val="0061231F"/>
    <w:rsid w:val="006128EC"/>
    <w:rsid w:val="0063182F"/>
    <w:rsid w:val="00637546"/>
    <w:rsid w:val="006466B5"/>
    <w:rsid w:val="0064781E"/>
    <w:rsid w:val="00653BDC"/>
    <w:rsid w:val="006557A2"/>
    <w:rsid w:val="00665536"/>
    <w:rsid w:val="00680D74"/>
    <w:rsid w:val="006816B0"/>
    <w:rsid w:val="0068195A"/>
    <w:rsid w:val="00682F45"/>
    <w:rsid w:val="006831A8"/>
    <w:rsid w:val="00683609"/>
    <w:rsid w:val="006910B9"/>
    <w:rsid w:val="00693E80"/>
    <w:rsid w:val="006945A0"/>
    <w:rsid w:val="0069586E"/>
    <w:rsid w:val="00695C78"/>
    <w:rsid w:val="006A20A8"/>
    <w:rsid w:val="006A7F65"/>
    <w:rsid w:val="006B354D"/>
    <w:rsid w:val="006C5050"/>
    <w:rsid w:val="006C59AD"/>
    <w:rsid w:val="006C75A0"/>
    <w:rsid w:val="006D2D8F"/>
    <w:rsid w:val="006D4D3F"/>
    <w:rsid w:val="006D5B96"/>
    <w:rsid w:val="006E2A03"/>
    <w:rsid w:val="006F073D"/>
    <w:rsid w:val="006F6692"/>
    <w:rsid w:val="0070498D"/>
    <w:rsid w:val="007077E0"/>
    <w:rsid w:val="00710749"/>
    <w:rsid w:val="0071210A"/>
    <w:rsid w:val="00716A76"/>
    <w:rsid w:val="00722C26"/>
    <w:rsid w:val="00724359"/>
    <w:rsid w:val="0075184B"/>
    <w:rsid w:val="007609D5"/>
    <w:rsid w:val="00771856"/>
    <w:rsid w:val="007729C2"/>
    <w:rsid w:val="007740EC"/>
    <w:rsid w:val="00775E5C"/>
    <w:rsid w:val="007811EC"/>
    <w:rsid w:val="00784012"/>
    <w:rsid w:val="0079298C"/>
    <w:rsid w:val="007C075F"/>
    <w:rsid w:val="007C5D5B"/>
    <w:rsid w:val="007C68D5"/>
    <w:rsid w:val="007D1D3D"/>
    <w:rsid w:val="007D2188"/>
    <w:rsid w:val="007E57E7"/>
    <w:rsid w:val="0082084F"/>
    <w:rsid w:val="00822401"/>
    <w:rsid w:val="0082522A"/>
    <w:rsid w:val="0083215B"/>
    <w:rsid w:val="008336FA"/>
    <w:rsid w:val="00834FA5"/>
    <w:rsid w:val="008359F8"/>
    <w:rsid w:val="008418AB"/>
    <w:rsid w:val="00841AD9"/>
    <w:rsid w:val="00843E57"/>
    <w:rsid w:val="008452BC"/>
    <w:rsid w:val="00855131"/>
    <w:rsid w:val="00855F6D"/>
    <w:rsid w:val="00856559"/>
    <w:rsid w:val="008660B6"/>
    <w:rsid w:val="008713B4"/>
    <w:rsid w:val="00876143"/>
    <w:rsid w:val="00881061"/>
    <w:rsid w:val="0088448F"/>
    <w:rsid w:val="0088651C"/>
    <w:rsid w:val="008A1F06"/>
    <w:rsid w:val="008A53C9"/>
    <w:rsid w:val="008A7105"/>
    <w:rsid w:val="008B1509"/>
    <w:rsid w:val="008B6A9A"/>
    <w:rsid w:val="008B7E38"/>
    <w:rsid w:val="008C7644"/>
    <w:rsid w:val="008D12B2"/>
    <w:rsid w:val="008E3443"/>
    <w:rsid w:val="008E77CF"/>
    <w:rsid w:val="008F5071"/>
    <w:rsid w:val="008F7BEE"/>
    <w:rsid w:val="00903C27"/>
    <w:rsid w:val="00915C0E"/>
    <w:rsid w:val="00923A83"/>
    <w:rsid w:val="009252B3"/>
    <w:rsid w:val="0092633A"/>
    <w:rsid w:val="009304CF"/>
    <w:rsid w:val="0093680F"/>
    <w:rsid w:val="00936A2A"/>
    <w:rsid w:val="0093772E"/>
    <w:rsid w:val="00954AB9"/>
    <w:rsid w:val="00956384"/>
    <w:rsid w:val="00956D77"/>
    <w:rsid w:val="00974FAC"/>
    <w:rsid w:val="00980066"/>
    <w:rsid w:val="009807E7"/>
    <w:rsid w:val="00984B35"/>
    <w:rsid w:val="00985477"/>
    <w:rsid w:val="00985BFD"/>
    <w:rsid w:val="009865FD"/>
    <w:rsid w:val="00994BD1"/>
    <w:rsid w:val="00994DF1"/>
    <w:rsid w:val="009A09D7"/>
    <w:rsid w:val="009A5160"/>
    <w:rsid w:val="009A6C4E"/>
    <w:rsid w:val="009B02E2"/>
    <w:rsid w:val="009B368D"/>
    <w:rsid w:val="009B37C1"/>
    <w:rsid w:val="009B48AF"/>
    <w:rsid w:val="009C7F28"/>
    <w:rsid w:val="009D1B7E"/>
    <w:rsid w:val="009D52AB"/>
    <w:rsid w:val="009E34D3"/>
    <w:rsid w:val="009E42FB"/>
    <w:rsid w:val="009E64AC"/>
    <w:rsid w:val="009F06E9"/>
    <w:rsid w:val="009F136B"/>
    <w:rsid w:val="009F1B9F"/>
    <w:rsid w:val="009F5B35"/>
    <w:rsid w:val="00A017F4"/>
    <w:rsid w:val="00A04C83"/>
    <w:rsid w:val="00A07FD5"/>
    <w:rsid w:val="00A22043"/>
    <w:rsid w:val="00A24FD0"/>
    <w:rsid w:val="00A26F05"/>
    <w:rsid w:val="00A3624F"/>
    <w:rsid w:val="00A446F2"/>
    <w:rsid w:val="00A4476B"/>
    <w:rsid w:val="00A54390"/>
    <w:rsid w:val="00A57220"/>
    <w:rsid w:val="00A60761"/>
    <w:rsid w:val="00A70471"/>
    <w:rsid w:val="00A7072E"/>
    <w:rsid w:val="00A77007"/>
    <w:rsid w:val="00A77FB9"/>
    <w:rsid w:val="00A82239"/>
    <w:rsid w:val="00A92197"/>
    <w:rsid w:val="00A9367B"/>
    <w:rsid w:val="00A965F9"/>
    <w:rsid w:val="00AA3444"/>
    <w:rsid w:val="00AA3957"/>
    <w:rsid w:val="00AA4D9E"/>
    <w:rsid w:val="00AA72EC"/>
    <w:rsid w:val="00AB4ADE"/>
    <w:rsid w:val="00AB6B5E"/>
    <w:rsid w:val="00AC0AA9"/>
    <w:rsid w:val="00AC3E83"/>
    <w:rsid w:val="00AC4ED4"/>
    <w:rsid w:val="00AD36AE"/>
    <w:rsid w:val="00AE258E"/>
    <w:rsid w:val="00AE56D1"/>
    <w:rsid w:val="00AE7855"/>
    <w:rsid w:val="00AF5377"/>
    <w:rsid w:val="00B0226D"/>
    <w:rsid w:val="00B03C3B"/>
    <w:rsid w:val="00B10145"/>
    <w:rsid w:val="00B107EA"/>
    <w:rsid w:val="00B10EFF"/>
    <w:rsid w:val="00B15451"/>
    <w:rsid w:val="00B17B56"/>
    <w:rsid w:val="00B22F6C"/>
    <w:rsid w:val="00B27DB8"/>
    <w:rsid w:val="00B36BDD"/>
    <w:rsid w:val="00B36BE7"/>
    <w:rsid w:val="00B37E3E"/>
    <w:rsid w:val="00B40543"/>
    <w:rsid w:val="00B42AC2"/>
    <w:rsid w:val="00B47071"/>
    <w:rsid w:val="00B553BA"/>
    <w:rsid w:val="00B60AF3"/>
    <w:rsid w:val="00B656B7"/>
    <w:rsid w:val="00B715FB"/>
    <w:rsid w:val="00B776F5"/>
    <w:rsid w:val="00BA15B5"/>
    <w:rsid w:val="00BA2170"/>
    <w:rsid w:val="00BC48D5"/>
    <w:rsid w:val="00BD4DA8"/>
    <w:rsid w:val="00BD789A"/>
    <w:rsid w:val="00BE1D40"/>
    <w:rsid w:val="00BE7735"/>
    <w:rsid w:val="00BF17AE"/>
    <w:rsid w:val="00BF2E0E"/>
    <w:rsid w:val="00BF6CFB"/>
    <w:rsid w:val="00C03855"/>
    <w:rsid w:val="00C0400A"/>
    <w:rsid w:val="00C10907"/>
    <w:rsid w:val="00C21F2B"/>
    <w:rsid w:val="00C350DA"/>
    <w:rsid w:val="00C37CD8"/>
    <w:rsid w:val="00C40B5A"/>
    <w:rsid w:val="00C44FB0"/>
    <w:rsid w:val="00C462A8"/>
    <w:rsid w:val="00C47866"/>
    <w:rsid w:val="00C55A28"/>
    <w:rsid w:val="00C60867"/>
    <w:rsid w:val="00C65BB0"/>
    <w:rsid w:val="00C66933"/>
    <w:rsid w:val="00C66945"/>
    <w:rsid w:val="00C70A7B"/>
    <w:rsid w:val="00C824F7"/>
    <w:rsid w:val="00C86C37"/>
    <w:rsid w:val="00C920AD"/>
    <w:rsid w:val="00C956F6"/>
    <w:rsid w:val="00CA4D8E"/>
    <w:rsid w:val="00CB1AD4"/>
    <w:rsid w:val="00CB7256"/>
    <w:rsid w:val="00CC2A7B"/>
    <w:rsid w:val="00CD078D"/>
    <w:rsid w:val="00CD0BF6"/>
    <w:rsid w:val="00CD61C4"/>
    <w:rsid w:val="00CE0C8B"/>
    <w:rsid w:val="00CE2848"/>
    <w:rsid w:val="00CF2EB9"/>
    <w:rsid w:val="00CF371E"/>
    <w:rsid w:val="00CF3FC3"/>
    <w:rsid w:val="00CF46DA"/>
    <w:rsid w:val="00D02E6E"/>
    <w:rsid w:val="00D13D4A"/>
    <w:rsid w:val="00D211BE"/>
    <w:rsid w:val="00D3359C"/>
    <w:rsid w:val="00D35C4B"/>
    <w:rsid w:val="00D37017"/>
    <w:rsid w:val="00D4075E"/>
    <w:rsid w:val="00D40B3F"/>
    <w:rsid w:val="00D41C8C"/>
    <w:rsid w:val="00D475FA"/>
    <w:rsid w:val="00D53E8F"/>
    <w:rsid w:val="00D5454E"/>
    <w:rsid w:val="00D550E1"/>
    <w:rsid w:val="00D56E3E"/>
    <w:rsid w:val="00D61494"/>
    <w:rsid w:val="00D61B24"/>
    <w:rsid w:val="00D71697"/>
    <w:rsid w:val="00D76282"/>
    <w:rsid w:val="00D82D15"/>
    <w:rsid w:val="00D83FAA"/>
    <w:rsid w:val="00D84B92"/>
    <w:rsid w:val="00D8573E"/>
    <w:rsid w:val="00D9498F"/>
    <w:rsid w:val="00D9741F"/>
    <w:rsid w:val="00DA1E36"/>
    <w:rsid w:val="00DB15A0"/>
    <w:rsid w:val="00DB3963"/>
    <w:rsid w:val="00DB4091"/>
    <w:rsid w:val="00DC6DA6"/>
    <w:rsid w:val="00DD4860"/>
    <w:rsid w:val="00DE273C"/>
    <w:rsid w:val="00DF2472"/>
    <w:rsid w:val="00DF3D8B"/>
    <w:rsid w:val="00E02469"/>
    <w:rsid w:val="00E06B8D"/>
    <w:rsid w:val="00E14053"/>
    <w:rsid w:val="00E2043C"/>
    <w:rsid w:val="00E208EA"/>
    <w:rsid w:val="00E26589"/>
    <w:rsid w:val="00E32DE4"/>
    <w:rsid w:val="00E33101"/>
    <w:rsid w:val="00E46B66"/>
    <w:rsid w:val="00E5445A"/>
    <w:rsid w:val="00E60993"/>
    <w:rsid w:val="00E65368"/>
    <w:rsid w:val="00E75985"/>
    <w:rsid w:val="00E759A5"/>
    <w:rsid w:val="00E84716"/>
    <w:rsid w:val="00E849BC"/>
    <w:rsid w:val="00E84D12"/>
    <w:rsid w:val="00E91E09"/>
    <w:rsid w:val="00EA2AF9"/>
    <w:rsid w:val="00ED28A0"/>
    <w:rsid w:val="00ED4A0D"/>
    <w:rsid w:val="00EE0295"/>
    <w:rsid w:val="00EE0B58"/>
    <w:rsid w:val="00EE26BA"/>
    <w:rsid w:val="00EE6B5B"/>
    <w:rsid w:val="00EF03CD"/>
    <w:rsid w:val="00EF1D7D"/>
    <w:rsid w:val="00EF3985"/>
    <w:rsid w:val="00EF4716"/>
    <w:rsid w:val="00EF4BE3"/>
    <w:rsid w:val="00EF506A"/>
    <w:rsid w:val="00F02DB9"/>
    <w:rsid w:val="00F14519"/>
    <w:rsid w:val="00F16E57"/>
    <w:rsid w:val="00F21011"/>
    <w:rsid w:val="00F213DA"/>
    <w:rsid w:val="00F23A6F"/>
    <w:rsid w:val="00F24548"/>
    <w:rsid w:val="00F30B2F"/>
    <w:rsid w:val="00F31870"/>
    <w:rsid w:val="00F353B3"/>
    <w:rsid w:val="00F3593F"/>
    <w:rsid w:val="00F43B6F"/>
    <w:rsid w:val="00F46A3A"/>
    <w:rsid w:val="00F608D2"/>
    <w:rsid w:val="00F60ABE"/>
    <w:rsid w:val="00F72340"/>
    <w:rsid w:val="00F7355D"/>
    <w:rsid w:val="00F76967"/>
    <w:rsid w:val="00F76B8E"/>
    <w:rsid w:val="00F8365A"/>
    <w:rsid w:val="00F87897"/>
    <w:rsid w:val="00F908AF"/>
    <w:rsid w:val="00F94698"/>
    <w:rsid w:val="00FA0D23"/>
    <w:rsid w:val="00FA2135"/>
    <w:rsid w:val="00FB137C"/>
    <w:rsid w:val="00FB759E"/>
    <w:rsid w:val="00FC1143"/>
    <w:rsid w:val="00FC2363"/>
    <w:rsid w:val="00FC3164"/>
    <w:rsid w:val="00FC7C47"/>
    <w:rsid w:val="00FD4E49"/>
    <w:rsid w:val="00FD7E72"/>
    <w:rsid w:val="00FE2DBC"/>
    <w:rsid w:val="00FF18C7"/>
    <w:rsid w:val="00FF2958"/>
    <w:rsid w:val="00FF4EDF"/>
    <w:rsid w:val="01275540"/>
    <w:rsid w:val="013168AF"/>
    <w:rsid w:val="01B96CFA"/>
    <w:rsid w:val="02615AC4"/>
    <w:rsid w:val="03BB7FBE"/>
    <w:rsid w:val="03FC2B99"/>
    <w:rsid w:val="04966C34"/>
    <w:rsid w:val="05485B7B"/>
    <w:rsid w:val="05670CFD"/>
    <w:rsid w:val="059F0B11"/>
    <w:rsid w:val="05E759F9"/>
    <w:rsid w:val="063178EA"/>
    <w:rsid w:val="071023CF"/>
    <w:rsid w:val="077A45A3"/>
    <w:rsid w:val="078F2096"/>
    <w:rsid w:val="07B729E3"/>
    <w:rsid w:val="0852282F"/>
    <w:rsid w:val="0A850770"/>
    <w:rsid w:val="0C067925"/>
    <w:rsid w:val="0CD65E68"/>
    <w:rsid w:val="0D575857"/>
    <w:rsid w:val="0DD138E5"/>
    <w:rsid w:val="0DFF07DA"/>
    <w:rsid w:val="0E465027"/>
    <w:rsid w:val="0E904CA0"/>
    <w:rsid w:val="0EA23BE0"/>
    <w:rsid w:val="0F5F4446"/>
    <w:rsid w:val="0FCD552D"/>
    <w:rsid w:val="101B0E17"/>
    <w:rsid w:val="10C02CE5"/>
    <w:rsid w:val="11906F6E"/>
    <w:rsid w:val="11E3219E"/>
    <w:rsid w:val="12CA1B34"/>
    <w:rsid w:val="19874DA2"/>
    <w:rsid w:val="19B2679F"/>
    <w:rsid w:val="1AEF5370"/>
    <w:rsid w:val="1B313B61"/>
    <w:rsid w:val="1C85096A"/>
    <w:rsid w:val="1CA651A6"/>
    <w:rsid w:val="1CB7078F"/>
    <w:rsid w:val="1D4E1709"/>
    <w:rsid w:val="1DCA2FE2"/>
    <w:rsid w:val="1E2F01C3"/>
    <w:rsid w:val="1E307E28"/>
    <w:rsid w:val="1EA42E2F"/>
    <w:rsid w:val="1F1C4344"/>
    <w:rsid w:val="1F32474B"/>
    <w:rsid w:val="2243266F"/>
    <w:rsid w:val="224469E3"/>
    <w:rsid w:val="23754AD4"/>
    <w:rsid w:val="24221361"/>
    <w:rsid w:val="24D14E7F"/>
    <w:rsid w:val="250639D1"/>
    <w:rsid w:val="25290DD3"/>
    <w:rsid w:val="259874E2"/>
    <w:rsid w:val="259A55C7"/>
    <w:rsid w:val="262279EE"/>
    <w:rsid w:val="26AF598F"/>
    <w:rsid w:val="26C07516"/>
    <w:rsid w:val="28DC2495"/>
    <w:rsid w:val="28E75501"/>
    <w:rsid w:val="2A9D7A8D"/>
    <w:rsid w:val="2C1C676A"/>
    <w:rsid w:val="2C536E17"/>
    <w:rsid w:val="2D1E0026"/>
    <w:rsid w:val="2D3D2F9E"/>
    <w:rsid w:val="2D9F684C"/>
    <w:rsid w:val="2DC43E7F"/>
    <w:rsid w:val="2E5B358A"/>
    <w:rsid w:val="2EE04960"/>
    <w:rsid w:val="2F5D2625"/>
    <w:rsid w:val="312D39EE"/>
    <w:rsid w:val="319C69F2"/>
    <w:rsid w:val="32235C91"/>
    <w:rsid w:val="3251432D"/>
    <w:rsid w:val="333778E7"/>
    <w:rsid w:val="34182C0B"/>
    <w:rsid w:val="34FE5F79"/>
    <w:rsid w:val="351E001C"/>
    <w:rsid w:val="361024FA"/>
    <w:rsid w:val="366854D4"/>
    <w:rsid w:val="36856723"/>
    <w:rsid w:val="395D0C1F"/>
    <w:rsid w:val="39971D6E"/>
    <w:rsid w:val="3B6406A5"/>
    <w:rsid w:val="3B64270E"/>
    <w:rsid w:val="3B782E04"/>
    <w:rsid w:val="3C0E7439"/>
    <w:rsid w:val="3C697F38"/>
    <w:rsid w:val="3CDD1FE6"/>
    <w:rsid w:val="3E5B0730"/>
    <w:rsid w:val="3E9F347B"/>
    <w:rsid w:val="3F57351D"/>
    <w:rsid w:val="3F6B63AF"/>
    <w:rsid w:val="3FF34452"/>
    <w:rsid w:val="411903B1"/>
    <w:rsid w:val="416A1961"/>
    <w:rsid w:val="41BF6F8E"/>
    <w:rsid w:val="41C1460B"/>
    <w:rsid w:val="42C1656C"/>
    <w:rsid w:val="434B6FA1"/>
    <w:rsid w:val="43654B19"/>
    <w:rsid w:val="445D5F4C"/>
    <w:rsid w:val="448326AD"/>
    <w:rsid w:val="449312B7"/>
    <w:rsid w:val="44A1391A"/>
    <w:rsid w:val="452E476E"/>
    <w:rsid w:val="462D4B18"/>
    <w:rsid w:val="473B4FFB"/>
    <w:rsid w:val="48014C35"/>
    <w:rsid w:val="493D45AA"/>
    <w:rsid w:val="4997450C"/>
    <w:rsid w:val="4A4E2254"/>
    <w:rsid w:val="4AF919CF"/>
    <w:rsid w:val="4B371EF5"/>
    <w:rsid w:val="4B3F5018"/>
    <w:rsid w:val="4D6E0465"/>
    <w:rsid w:val="4EF81882"/>
    <w:rsid w:val="4F377047"/>
    <w:rsid w:val="4F395F77"/>
    <w:rsid w:val="4F3A14A2"/>
    <w:rsid w:val="511C7E53"/>
    <w:rsid w:val="518109A8"/>
    <w:rsid w:val="563003E3"/>
    <w:rsid w:val="56310DFF"/>
    <w:rsid w:val="579F2BCE"/>
    <w:rsid w:val="58196DAC"/>
    <w:rsid w:val="586B4C84"/>
    <w:rsid w:val="587E02D6"/>
    <w:rsid w:val="5B2263F6"/>
    <w:rsid w:val="5B6B0668"/>
    <w:rsid w:val="5B7C5ADC"/>
    <w:rsid w:val="5C077D46"/>
    <w:rsid w:val="5C824E70"/>
    <w:rsid w:val="5CCD16D9"/>
    <w:rsid w:val="5D526412"/>
    <w:rsid w:val="5DF22DD1"/>
    <w:rsid w:val="600141D5"/>
    <w:rsid w:val="60B7264A"/>
    <w:rsid w:val="61935BD0"/>
    <w:rsid w:val="62175D5B"/>
    <w:rsid w:val="62B7643A"/>
    <w:rsid w:val="64182E0A"/>
    <w:rsid w:val="64F1725E"/>
    <w:rsid w:val="65BC5C7B"/>
    <w:rsid w:val="6784322C"/>
    <w:rsid w:val="678C256E"/>
    <w:rsid w:val="69670E06"/>
    <w:rsid w:val="6A5D7BE9"/>
    <w:rsid w:val="6B334FF3"/>
    <w:rsid w:val="6BE77F90"/>
    <w:rsid w:val="6BF413E9"/>
    <w:rsid w:val="6C29007C"/>
    <w:rsid w:val="6DC579D0"/>
    <w:rsid w:val="6FEB5085"/>
    <w:rsid w:val="70547B9B"/>
    <w:rsid w:val="70C7464F"/>
    <w:rsid w:val="72966949"/>
    <w:rsid w:val="74BF6FC0"/>
    <w:rsid w:val="74D57E74"/>
    <w:rsid w:val="753A0D99"/>
    <w:rsid w:val="755D5D60"/>
    <w:rsid w:val="756D68F7"/>
    <w:rsid w:val="75A562CE"/>
    <w:rsid w:val="75C76B18"/>
    <w:rsid w:val="761B3291"/>
    <w:rsid w:val="76712476"/>
    <w:rsid w:val="76F05A38"/>
    <w:rsid w:val="77F67492"/>
    <w:rsid w:val="788262C8"/>
    <w:rsid w:val="78917997"/>
    <w:rsid w:val="78D15FE5"/>
    <w:rsid w:val="792C07FA"/>
    <w:rsid w:val="79306F67"/>
    <w:rsid w:val="79516131"/>
    <w:rsid w:val="7996655C"/>
    <w:rsid w:val="7A325655"/>
    <w:rsid w:val="7B394679"/>
    <w:rsid w:val="7B8F31E0"/>
    <w:rsid w:val="7CE83AE5"/>
    <w:rsid w:val="7E8452A3"/>
    <w:rsid w:val="7ED541F3"/>
    <w:rsid w:val="7EFB4ABE"/>
    <w:rsid w:val="7F290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 w:locked="1"/>
    <w:lsdException w:unhideWhenUsed="0" w:uiPriority="0" w:semiHidden="0" w:name="index 2" w:locked="1"/>
    <w:lsdException w:unhideWhenUsed="0" w:uiPriority="0" w:semiHidden="0" w:name="index 3" w:locked="1"/>
    <w:lsdException w:unhideWhenUsed="0" w:uiPriority="0" w:semiHidden="0" w:name="index 4" w:locked="1"/>
    <w:lsdException w:unhideWhenUsed="0" w:uiPriority="0" w:semiHidden="0" w:name="index 5" w:locked="1"/>
    <w:lsdException w:unhideWhenUsed="0" w:uiPriority="0" w:semiHidden="0" w:name="index 6" w:locked="1"/>
    <w:lsdException w:unhideWhenUsed="0" w:uiPriority="0" w:semiHidden="0" w:name="index 7" w:locked="1"/>
    <w:lsdException w:unhideWhenUsed="0" w:uiPriority="0" w:semiHidden="0" w:name="index 8" w:locked="1"/>
    <w:lsdException w:unhideWhenUsed="0" w:uiPriority="0" w:semiHidden="0" w:name="index 9" w:locked="1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 w:locked="1"/>
    <w:lsdException w:unhideWhenUsed="0" w:uiPriority="0" w:semiHidden="0" w:name="footnote text" w:locked="1"/>
    <w:lsdException w:unhideWhenUsed="0" w:uiPriority="0" w:semiHidden="0" w:name="annotation text" w:locked="1"/>
    <w:lsdException w:qFormat="1" w:unhideWhenUsed="0" w:uiPriority="0" w:semiHidden="0" w:name="header" w:locked="1"/>
    <w:lsdException w:qFormat="1" w:unhideWhenUsed="0" w:uiPriority="0" w:semiHidden="0" w:name="footer" w:locked="1"/>
    <w:lsdException w:unhideWhenUsed="0" w:uiPriority="0" w:semiHidden="0" w:name="index heading" w:locked="1"/>
    <w:lsdException w:qFormat="1" w:uiPriority="0" w:name="caption" w:locked="1"/>
    <w:lsdException w:unhideWhenUsed="0" w:uiPriority="0" w:semiHidden="0" w:name="table of figures" w:locked="1"/>
    <w:lsdException w:unhideWhenUsed="0" w:uiPriority="0" w:semiHidden="0" w:name="envelope address" w:locked="1"/>
    <w:lsdException w:unhideWhenUsed="0" w:uiPriority="0" w:semiHidden="0" w:name="envelope return" w:locked="1"/>
    <w:lsdException w:unhideWhenUsed="0" w:uiPriority="0" w:semiHidden="0" w:name="footnote reference" w:locked="1"/>
    <w:lsdException w:unhideWhenUsed="0" w:uiPriority="0" w:semiHidden="0" w:name="annotation reference" w:locked="1"/>
    <w:lsdException w:unhideWhenUsed="0" w:uiPriority="0" w:semiHidden="0" w:name="line number" w:locked="1"/>
    <w:lsdException w:unhideWhenUsed="0" w:uiPriority="0" w:semiHidden="0" w:name="page number" w:locked="1"/>
    <w:lsdException w:unhideWhenUsed="0" w:uiPriority="0" w:semiHidden="0" w:name="endnote reference" w:locked="1"/>
    <w:lsdException w:unhideWhenUsed="0" w:uiPriority="0" w:semiHidden="0" w:name="endnote text" w:locked="1"/>
    <w:lsdException w:unhideWhenUsed="0" w:uiPriority="0" w:semiHidden="0" w:name="table of authorities" w:locked="1"/>
    <w:lsdException w:unhideWhenUsed="0" w:uiPriority="0" w:semiHidden="0" w:name="macro" w:locked="1"/>
    <w:lsdException w:unhideWhenUsed="0" w:uiPriority="0" w:semiHidden="0" w:name="toa heading" w:locked="1"/>
    <w:lsdException w:unhideWhenUsed="0" w:uiPriority="0" w:semiHidden="0" w:name="List" w:locked="1"/>
    <w:lsdException w:unhideWhenUsed="0" w:uiPriority="0" w:semiHidden="0" w:name="List Bullet" w:locked="1"/>
    <w:lsdException w:unhideWhenUsed="0" w:uiPriority="0" w:semiHidden="0" w:name="List Number" w:locked="1"/>
    <w:lsdException w:unhideWhenUsed="0" w:uiPriority="0" w:semiHidden="0" w:name="List 2" w:locked="1"/>
    <w:lsdException w:unhideWhenUsed="0" w:uiPriority="0" w:semiHidden="0" w:name="List 3" w:locked="1"/>
    <w:lsdException w:unhideWhenUsed="0" w:uiPriority="0" w:semiHidden="0" w:name="List 4" w:locked="1"/>
    <w:lsdException w:unhideWhenUsed="0" w:uiPriority="0" w:semiHidden="0" w:name="List 5" w:locked="1"/>
    <w:lsdException w:unhideWhenUsed="0" w:uiPriority="0" w:semiHidden="0" w:name="List Bullet 2" w:locked="1"/>
    <w:lsdException w:unhideWhenUsed="0" w:uiPriority="0" w:semiHidden="0" w:name="List Bullet 3" w:locked="1"/>
    <w:lsdException w:unhideWhenUsed="0" w:uiPriority="0" w:semiHidden="0" w:name="List Bullet 4" w:locked="1"/>
    <w:lsdException w:unhideWhenUsed="0" w:uiPriority="0" w:semiHidden="0" w:name="List Bullet 5" w:locked="1"/>
    <w:lsdException w:unhideWhenUsed="0" w:uiPriority="0" w:semiHidden="0" w:name="List Number 2" w:locked="1"/>
    <w:lsdException w:unhideWhenUsed="0" w:uiPriority="0" w:semiHidden="0" w:name="List Number 3" w:locked="1"/>
    <w:lsdException w:unhideWhenUsed="0" w:uiPriority="0" w:semiHidden="0" w:name="List Number 4" w:locked="1"/>
    <w:lsdException w:unhideWhenUsed="0" w:uiPriority="0" w:semiHidden="0" w:name="List Number 5" w:locked="1"/>
    <w:lsdException w:qFormat="1" w:unhideWhenUsed="0" w:uiPriority="0" w:semiHidden="0" w:name="Title" w:locked="1"/>
    <w:lsdException w:unhideWhenUsed="0" w:uiPriority="0" w:semiHidden="0" w:name="Closing" w:locked="1"/>
    <w:lsdException w:unhideWhenUsed="0" w:uiPriority="0" w:semiHidden="0" w:name="Signature" w:locked="1"/>
    <w:lsdException w:qFormat="1" w:uiPriority="1" w:name="Default Paragraph Font"/>
    <w:lsdException w:unhideWhenUsed="0" w:uiPriority="0" w:semiHidden="0" w:name="Body Text" w:locked="1"/>
    <w:lsdException w:unhideWhenUsed="0" w:uiPriority="0" w:semiHidden="0" w:name="Body Text Indent" w:locked="1"/>
    <w:lsdException w:unhideWhenUsed="0" w:uiPriority="0" w:semiHidden="0" w:name="List Continue" w:locked="1"/>
    <w:lsdException w:unhideWhenUsed="0" w:uiPriority="0" w:semiHidden="0" w:name="List Continue 2" w:locked="1"/>
    <w:lsdException w:unhideWhenUsed="0" w:uiPriority="0" w:semiHidden="0" w:name="List Continue 3" w:locked="1"/>
    <w:lsdException w:unhideWhenUsed="0" w:uiPriority="0" w:semiHidden="0" w:name="List Continue 4" w:locked="1"/>
    <w:lsdException w:unhideWhenUsed="0" w:uiPriority="0" w:semiHidden="0" w:name="List Continue 5" w:locked="1"/>
    <w:lsdException w:unhideWhenUsed="0" w:uiPriority="0" w:semiHidden="0" w:name="Message Header" w:locked="1"/>
    <w:lsdException w:qFormat="1" w:unhideWhenUsed="0" w:uiPriority="0" w:semiHidden="0" w:name="Subtitle" w:locked="1"/>
    <w:lsdException w:unhideWhenUsed="0" w:uiPriority="0" w:semiHidden="0" w:name="Salutation" w:locked="1"/>
    <w:lsdException w:unhideWhenUsed="0" w:uiPriority="0" w:semiHidden="0" w:name="Date" w:locked="1"/>
    <w:lsdException w:unhideWhenUsed="0" w:uiPriority="0" w:semiHidden="0" w:name="Body Text First Indent" w:locked="1"/>
    <w:lsdException w:unhideWhenUsed="0" w:uiPriority="0" w:semiHidden="0" w:name="Body Text First Indent 2" w:locked="1"/>
    <w:lsdException w:unhideWhenUsed="0" w:uiPriority="0" w:semiHidden="0" w:name="Note Heading" w:locked="1"/>
    <w:lsdException w:unhideWhenUsed="0" w:uiPriority="0" w:semiHidden="0" w:name="Body Text 2" w:locked="1"/>
    <w:lsdException w:unhideWhenUsed="0" w:uiPriority="0" w:semiHidden="0" w:name="Body Text 3" w:locked="1"/>
    <w:lsdException w:unhideWhenUsed="0" w:uiPriority="0" w:semiHidden="0" w:name="Body Text Indent 2" w:locked="1"/>
    <w:lsdException w:unhideWhenUsed="0" w:uiPriority="0" w:semiHidden="0" w:name="Body Text Indent 3" w:locked="1"/>
    <w:lsdException w:unhideWhenUsed="0" w:uiPriority="0" w:semiHidden="0" w:name="Block Text" w:locked="1"/>
    <w:lsdException w:qFormat="1" w:unhideWhenUsed="0" w:uiPriority="0" w:semiHidden="0" w:name="Hyperlink"/>
    <w:lsdException w:unhideWhenUsed="0" w:uiPriority="0" w:semiHidden="0" w:name="FollowedHyperlink" w:locked="1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0" w:semiHidden="0" w:name="Document Map" w:locked="1"/>
    <w:lsdException w:unhideWhenUsed="0" w:uiPriority="0" w:semiHidden="0" w:name="Plain Text" w:locked="1"/>
    <w:lsdException w:unhideWhenUsed="0" w:uiPriority="0" w:semiHidden="0" w:name="E-mail Signature" w:locked="1"/>
    <w:lsdException w:unhideWhenUsed="0" w:uiPriority="0" w:semiHidden="0" w:name="Normal (Web)" w:locked="1"/>
    <w:lsdException w:unhideWhenUsed="0" w:uiPriority="0" w:semiHidden="0" w:name="HTML Acronym" w:locked="1"/>
    <w:lsdException w:unhideWhenUsed="0" w:uiPriority="0" w:semiHidden="0" w:name="HTML Address" w:locked="1"/>
    <w:lsdException w:unhideWhenUsed="0" w:uiPriority="0" w:semiHidden="0" w:name="HTML Cite" w:locked="1"/>
    <w:lsdException w:unhideWhenUsed="0" w:uiPriority="0" w:semiHidden="0" w:name="HTML Code" w:locked="1"/>
    <w:lsdException w:unhideWhenUsed="0" w:uiPriority="0" w:semiHidden="0" w:name="HTML Definition" w:locked="1"/>
    <w:lsdException w:unhideWhenUsed="0" w:uiPriority="0" w:semiHidden="0" w:name="HTML Keyboard" w:locked="1"/>
    <w:lsdException w:unhideWhenUsed="0" w:uiPriority="0" w:semiHidden="0" w:name="HTML Preformatted" w:locked="1"/>
    <w:lsdException w:unhideWhenUsed="0" w:uiPriority="0" w:semiHidden="0" w:name="HTML Sample" w:locked="1"/>
    <w:lsdException w:unhideWhenUsed="0" w:uiPriority="0" w:semiHidden="0" w:name="HTML Typewriter" w:locked="1"/>
    <w:lsdException w:unhideWhenUsed="0" w:uiPriority="0" w:semiHidden="0" w:name="HTML Variable" w:locked="1"/>
    <w:lsdException w:qFormat="1" w:uiPriority="99" w:name="Normal Table"/>
    <w:lsdException w:unhideWhenUsed="0" w:uiPriority="0" w:semiHidden="0" w:name="annotation subject" w:locked="1"/>
    <w:lsdException w:unhideWhenUsed="0" w:uiPriority="0" w:semiHidden="0" w:name="Table Simple 1" w:locked="1"/>
    <w:lsdException w:unhideWhenUsed="0" w:uiPriority="0" w:semiHidden="0" w:name="Table Simple 2" w:locked="1"/>
    <w:lsdException w:unhideWhenUsed="0" w:uiPriority="0" w:semiHidden="0" w:name="Table Simple 3" w:locked="1"/>
    <w:lsdException w:unhideWhenUsed="0" w:uiPriority="0" w:semiHidden="0" w:name="Table Classic 1" w:locked="1"/>
    <w:lsdException w:unhideWhenUsed="0" w:uiPriority="0" w:semiHidden="0" w:name="Table Classic 2" w:locked="1"/>
    <w:lsdException w:unhideWhenUsed="0" w:uiPriority="0" w:semiHidden="0" w:name="Table Classic 3" w:locked="1"/>
    <w:lsdException w:unhideWhenUsed="0" w:uiPriority="0" w:semiHidden="0" w:name="Table Classic 4" w:locked="1"/>
    <w:lsdException w:unhideWhenUsed="0" w:uiPriority="0" w:semiHidden="0" w:name="Table Colorful 1" w:locked="1"/>
    <w:lsdException w:unhideWhenUsed="0" w:uiPriority="0" w:semiHidden="0" w:name="Table Colorful 2" w:locked="1"/>
    <w:lsdException w:unhideWhenUsed="0" w:uiPriority="0" w:semiHidden="0" w:name="Table Colorful 3" w:locked="1"/>
    <w:lsdException w:unhideWhenUsed="0" w:uiPriority="0" w:semiHidden="0" w:name="Table Columns 1" w:locked="1"/>
    <w:lsdException w:unhideWhenUsed="0" w:uiPriority="0" w:semiHidden="0" w:name="Table Columns 2" w:locked="1"/>
    <w:lsdException w:unhideWhenUsed="0" w:uiPriority="0" w:semiHidden="0" w:name="Table Columns 3" w:locked="1"/>
    <w:lsdException w:unhideWhenUsed="0" w:uiPriority="0" w:semiHidden="0" w:name="Table Columns 4" w:locked="1"/>
    <w:lsdException w:unhideWhenUsed="0" w:uiPriority="0" w:semiHidden="0" w:name="Table Columns 5" w:locked="1"/>
    <w:lsdException w:unhideWhenUsed="0" w:uiPriority="0" w:semiHidden="0" w:name="Table Grid 1" w:locked="1"/>
    <w:lsdException w:unhideWhenUsed="0" w:uiPriority="0" w:semiHidden="0" w:name="Table Grid 2" w:locked="1"/>
    <w:lsdException w:unhideWhenUsed="0" w:uiPriority="0" w:semiHidden="0" w:name="Table Grid 3" w:locked="1"/>
    <w:lsdException w:unhideWhenUsed="0" w:uiPriority="0" w:semiHidden="0" w:name="Table Grid 4" w:locked="1"/>
    <w:lsdException w:unhideWhenUsed="0" w:uiPriority="0" w:semiHidden="0" w:name="Table Grid 5" w:locked="1"/>
    <w:lsdException w:unhideWhenUsed="0" w:uiPriority="0" w:semiHidden="0" w:name="Table Grid 6" w:locked="1"/>
    <w:lsdException w:unhideWhenUsed="0" w:uiPriority="0" w:semiHidden="0" w:name="Table Grid 7" w:locked="1"/>
    <w:lsdException w:unhideWhenUsed="0" w:uiPriority="0" w:semiHidden="0" w:name="Table Grid 8" w:locked="1"/>
    <w:lsdException w:unhideWhenUsed="0" w:uiPriority="0" w:semiHidden="0" w:name="Table List 1" w:locked="1"/>
    <w:lsdException w:unhideWhenUsed="0" w:uiPriority="0" w:semiHidden="0" w:name="Table List 2" w:locked="1"/>
    <w:lsdException w:unhideWhenUsed="0" w:uiPriority="0" w:semiHidden="0" w:name="Table List 3" w:locked="1"/>
    <w:lsdException w:unhideWhenUsed="0" w:uiPriority="0" w:semiHidden="0" w:name="Table List 4" w:locked="1"/>
    <w:lsdException w:unhideWhenUsed="0" w:uiPriority="0" w:semiHidden="0" w:name="Table List 5" w:locked="1"/>
    <w:lsdException w:unhideWhenUsed="0" w:uiPriority="0" w:semiHidden="0" w:name="Table List 6" w:locked="1"/>
    <w:lsdException w:unhideWhenUsed="0" w:uiPriority="0" w:semiHidden="0" w:name="Table List 7" w:locked="1"/>
    <w:lsdException w:unhideWhenUsed="0" w:uiPriority="0" w:semiHidden="0" w:name="Table List 8" w:locked="1"/>
    <w:lsdException w:unhideWhenUsed="0" w:uiPriority="0" w:semiHidden="0" w:name="Table 3D effects 1" w:locked="1"/>
    <w:lsdException w:unhideWhenUsed="0" w:uiPriority="0" w:semiHidden="0" w:name="Table 3D effects 2" w:locked="1"/>
    <w:lsdException w:unhideWhenUsed="0" w:uiPriority="0" w:semiHidden="0" w:name="Table 3D effects 3" w:locked="1"/>
    <w:lsdException w:unhideWhenUsed="0" w:uiPriority="0" w:semiHidden="0" w:name="Table Contemporary" w:locked="1"/>
    <w:lsdException w:unhideWhenUsed="0" w:uiPriority="0" w:semiHidden="0" w:name="Table Elegant" w:locked="1"/>
    <w:lsdException w:unhideWhenUsed="0" w:uiPriority="0" w:semiHidden="0" w:name="Table Professional" w:locked="1"/>
    <w:lsdException w:unhideWhenUsed="0" w:uiPriority="0" w:semiHidden="0" w:name="Table Subtle 1" w:locked="1"/>
    <w:lsdException w:unhideWhenUsed="0" w:uiPriority="0" w:semiHidden="0" w:name="Table Subtle 2" w:locked="1"/>
    <w:lsdException w:unhideWhenUsed="0" w:uiPriority="0" w:semiHidden="0" w:name="Table Web 1" w:locked="1"/>
    <w:lsdException w:unhideWhenUsed="0" w:uiPriority="0" w:semiHidden="0" w:name="Table Web 2" w:locked="1"/>
    <w:lsdException w:unhideWhenUsed="0" w:uiPriority="0" w:semiHidden="0" w:name="Table Web 3" w:locked="1"/>
    <w:lsdException w:qFormat="1" w:unhideWhenUsed="0" w:uiPriority="0" w:semiHidden="0" w:name="Balloon Text" w:locked="1"/>
    <w:lsdException w:unhideWhenUsed="0" w:uiPriority="0" w:semiHidden="0" w:name="Table Grid" w:locked="1"/>
    <w:lsdException w:unhideWhenUsed="0" w:uiPriority="0" w:semiHidden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locked/>
    <w:uiPriority w:val="0"/>
    <w:rPr>
      <w:sz w:val="18"/>
      <w:szCs w:val="18"/>
    </w:rPr>
  </w:style>
  <w:style w:type="paragraph" w:styleId="3">
    <w:name w:val="footer"/>
    <w:basedOn w:val="1"/>
    <w:link w:val="13"/>
    <w:qFormat/>
    <w:locked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2"/>
    <w:qFormat/>
    <w:lock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qFormat/>
    <w:uiPriority w:val="0"/>
    <w:rPr>
      <w:u w:val="single"/>
    </w:rPr>
  </w:style>
  <w:style w:type="paragraph" w:customStyle="1" w:styleId="8">
    <w:name w:val="页眉1"/>
    <w:qFormat/>
    <w:uiPriority w:val="0"/>
    <w:pPr>
      <w:widowControl w:val="0"/>
      <w:tabs>
        <w:tab w:val="center" w:pos="4153"/>
        <w:tab w:val="right" w:pos="8306"/>
      </w:tabs>
      <w:jc w:val="both"/>
    </w:pPr>
    <w:rPr>
      <w:rFonts w:ascii="Times New Roman" w:hAnsi="Times New Roman" w:eastAsia="Arial Unicode MS" w:cs="Arial Unicode MS"/>
      <w:color w:val="000000"/>
      <w:kern w:val="2"/>
      <w:sz w:val="18"/>
      <w:szCs w:val="18"/>
      <w:u w:color="000000"/>
      <w:lang w:val="en-US" w:eastAsia="zh-CN" w:bidi="ar-SA"/>
    </w:rPr>
  </w:style>
  <w:style w:type="paragraph" w:customStyle="1" w:styleId="9">
    <w:name w:val="页眉与页脚"/>
    <w:qFormat/>
    <w:uiPriority w:val="0"/>
    <w:pPr>
      <w:tabs>
        <w:tab w:val="right" w:pos="9020"/>
      </w:tabs>
    </w:pPr>
    <w:rPr>
      <w:rFonts w:ascii="Helvetica" w:hAnsi="Helvetica" w:eastAsia="Helvetica" w:cs="Helvetica"/>
      <w:color w:val="000000"/>
      <w:sz w:val="24"/>
      <w:szCs w:val="24"/>
      <w:u w:color="000000"/>
      <w:lang w:val="en-US" w:eastAsia="zh-CN" w:bidi="ar-SA"/>
    </w:rPr>
  </w:style>
  <w:style w:type="paragraph" w:customStyle="1" w:styleId="10">
    <w:name w:val="正文 A"/>
    <w:qFormat/>
    <w:uiPriority w:val="0"/>
    <w:pPr>
      <w:widowControl w:val="0"/>
      <w:jc w:val="both"/>
    </w:pPr>
    <w:rPr>
      <w:rFonts w:ascii="Times New Roman" w:hAnsi="Times New Roman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11">
    <w:name w:val="批注框文本 Char"/>
    <w:basedOn w:val="6"/>
    <w:link w:val="2"/>
    <w:qFormat/>
    <w:uiPriority w:val="0"/>
    <w:rPr>
      <w:sz w:val="18"/>
      <w:szCs w:val="18"/>
      <w:lang w:eastAsia="en-US"/>
    </w:rPr>
  </w:style>
  <w:style w:type="character" w:customStyle="1" w:styleId="12">
    <w:name w:val="页眉 Char"/>
    <w:basedOn w:val="6"/>
    <w:link w:val="4"/>
    <w:qFormat/>
    <w:uiPriority w:val="0"/>
    <w:rPr>
      <w:sz w:val="18"/>
      <w:szCs w:val="18"/>
      <w:lang w:eastAsia="en-US"/>
    </w:rPr>
  </w:style>
  <w:style w:type="character" w:customStyle="1" w:styleId="13">
    <w:name w:val="页脚 Char"/>
    <w:basedOn w:val="6"/>
    <w:link w:val="3"/>
    <w:qFormat/>
    <w:uiPriority w:val="0"/>
    <w:rPr>
      <w:sz w:val="18"/>
      <w:szCs w:val="18"/>
      <w:lang w:eastAsia="en-US"/>
    </w:rPr>
  </w:style>
  <w:style w:type="paragraph" w:styleId="14">
    <w:name w:val="List Paragraph"/>
    <w:basedOn w:val="1"/>
    <w:qFormat/>
    <w:uiPriority w:val="34"/>
    <w:pPr>
      <w:widowControl w:val="0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8.pn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jpe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jpe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5481</Words>
  <Characters>5839</Characters>
  <Lines>33</Lines>
  <Paragraphs>9</Paragraphs>
  <TotalTime>78</TotalTime>
  <ScaleCrop>false</ScaleCrop>
  <LinksUpToDate>false</LinksUpToDate>
  <CharactersWithSpaces>5917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2017-08-31T04:08:00Z</dcterms:created>
  <dc:creator>AmiLio</dc:creator>
  <cp:lastModifiedBy>AmiLio_Rui</cp:lastModifiedBy>
  <dcterms:modified xsi:type="dcterms:W3CDTF">2022-06-27T00:14:21Z</dcterms:modified>
  <cp:revision>485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8C0C2973E6C14A2B80FC8BBC43564AE4</vt:lpwstr>
  </property>
</Properties>
</file>