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0" w:after="300" w:line="480" w:lineRule="auto"/>
        <w:jc w:val="center"/>
        <w:rPr>
          <w:rFonts w:ascii="黑体" w:hAnsi="黑体" w:eastAsia="黑体"/>
          <w:kern w:val="0"/>
          <w:sz w:val="32"/>
          <w:szCs w:val="32"/>
        </w:rPr>
      </w:pPr>
      <w:r>
        <w:rPr>
          <w:rFonts w:hint="eastAsia" w:ascii="黑体" w:hAnsi="黑体" w:eastAsia="黑体"/>
          <w:kern w:val="0"/>
          <w:sz w:val="32"/>
          <w:szCs w:val="32"/>
        </w:rPr>
        <w:t>东方雨虹8月份沥青船运服务项目招标前信息公示</w:t>
      </w:r>
    </w:p>
    <w:p>
      <w:pPr>
        <w:spacing w:before="156" w:beforeLines="50" w:after="156" w:afterLines="50" w:line="400" w:lineRule="exact"/>
        <w:rPr>
          <w:rFonts w:asciiTheme="minorEastAsia" w:hAnsiTheme="minorEastAsia"/>
          <w:b/>
          <w:kern w:val="0"/>
          <w:sz w:val="24"/>
          <w:szCs w:val="24"/>
        </w:rPr>
      </w:pPr>
      <w:r>
        <w:rPr>
          <w:rFonts w:hint="eastAsia" w:asciiTheme="minorEastAsia" w:hAnsiTheme="minorEastAsia"/>
          <w:b/>
          <w:kern w:val="0"/>
          <w:sz w:val="24"/>
          <w:szCs w:val="24"/>
        </w:rPr>
        <w:t>一、项目名称</w:t>
      </w:r>
    </w:p>
    <w:p>
      <w:pPr>
        <w:spacing w:before="156" w:beforeLines="50" w:after="156" w:afterLines="50" w:line="400" w:lineRule="exact"/>
        <w:rPr>
          <w:rFonts w:asciiTheme="minorEastAsia" w:hAnsiTheme="minorEastAsia"/>
          <w:kern w:val="0"/>
          <w:sz w:val="24"/>
          <w:szCs w:val="24"/>
        </w:rPr>
      </w:pPr>
      <w:r>
        <w:rPr>
          <w:rFonts w:hint="eastAsia" w:asciiTheme="minorEastAsia" w:hAnsiTheme="minorEastAsia"/>
          <w:kern w:val="0"/>
          <w:sz w:val="24"/>
          <w:szCs w:val="24"/>
        </w:rPr>
        <w:t>东方雨虹8月份沥青船运服务项目</w:t>
      </w:r>
    </w:p>
    <w:p>
      <w:pPr>
        <w:spacing w:before="156" w:beforeLines="50" w:after="156" w:afterLines="50" w:line="400" w:lineRule="exact"/>
        <w:rPr>
          <w:rFonts w:asciiTheme="minorEastAsia" w:hAnsiTheme="minorEastAsia"/>
          <w:b/>
          <w:kern w:val="0"/>
          <w:sz w:val="24"/>
          <w:szCs w:val="24"/>
        </w:rPr>
      </w:pPr>
      <w:r>
        <w:rPr>
          <w:rFonts w:hint="eastAsia" w:asciiTheme="minorEastAsia" w:hAnsiTheme="minorEastAsia"/>
          <w:b/>
          <w:kern w:val="0"/>
          <w:sz w:val="24"/>
          <w:szCs w:val="24"/>
        </w:rPr>
        <w:t>二、招标内容</w:t>
      </w:r>
    </w:p>
    <w:p>
      <w:pPr>
        <w:spacing w:before="156" w:beforeLines="50" w:after="156" w:afterLines="50" w:line="400" w:lineRule="exact"/>
        <w:rPr>
          <w:rFonts w:asciiTheme="minorEastAsia" w:hAnsiTheme="minorEastAsia"/>
          <w:kern w:val="0"/>
          <w:sz w:val="24"/>
          <w:szCs w:val="24"/>
        </w:rPr>
      </w:pPr>
      <w:r>
        <w:rPr>
          <w:rFonts w:hint="eastAsia" w:asciiTheme="minorEastAsia" w:hAnsiTheme="minorEastAsia"/>
          <w:kern w:val="0"/>
          <w:sz w:val="24"/>
          <w:szCs w:val="24"/>
        </w:rPr>
        <w:t>1、招标标的与用途</w:t>
      </w:r>
    </w:p>
    <w:p>
      <w:pPr>
        <w:spacing w:before="156" w:beforeLines="50" w:after="156" w:afterLines="50" w:line="400" w:lineRule="exact"/>
        <w:rPr>
          <w:rFonts w:hint="eastAsia" w:asciiTheme="minorEastAsia" w:hAnsiTheme="minorEastAsia"/>
          <w:kern w:val="0"/>
          <w:sz w:val="24"/>
          <w:szCs w:val="24"/>
        </w:rPr>
      </w:pPr>
      <w:r>
        <w:rPr>
          <w:rFonts w:hint="eastAsia" w:asciiTheme="minorEastAsia" w:hAnsiTheme="minorEastAsia"/>
          <w:kern w:val="0"/>
          <w:sz w:val="24"/>
          <w:szCs w:val="24"/>
        </w:rPr>
        <w:t>东方雨虹8月份沥青船运服务，包含如下路线：</w:t>
      </w:r>
    </w:p>
    <w:tbl>
      <w:tblPr>
        <w:tblStyle w:val="5"/>
        <w:tblW w:w="7715" w:type="dxa"/>
        <w:tblInd w:w="0" w:type="dxa"/>
        <w:tblLayout w:type="autofit"/>
        <w:tblCellMar>
          <w:top w:w="0" w:type="dxa"/>
          <w:left w:w="0" w:type="dxa"/>
          <w:bottom w:w="0" w:type="dxa"/>
          <w:right w:w="0" w:type="dxa"/>
        </w:tblCellMar>
      </w:tblPr>
      <w:tblGrid>
        <w:gridCol w:w="846"/>
        <w:gridCol w:w="1417"/>
        <w:gridCol w:w="2127"/>
        <w:gridCol w:w="3325"/>
      </w:tblGrid>
      <w:tr>
        <w:tblPrEx>
          <w:tblCellMar>
            <w:top w:w="0" w:type="dxa"/>
            <w:left w:w="0" w:type="dxa"/>
            <w:bottom w:w="0" w:type="dxa"/>
            <w:right w:w="0" w:type="dxa"/>
          </w:tblCellMar>
        </w:tblPrEx>
        <w:trPr>
          <w:trHeight w:val="48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b/>
                <w:color w:val="000000"/>
                <w:szCs w:val="21"/>
              </w:rPr>
            </w:pPr>
            <w:r>
              <w:rPr>
                <w:rFonts w:hint="eastAsia" w:ascii="宋体" w:hAnsi="宋体" w:eastAsia="宋体" w:cs="宋体"/>
                <w:b/>
                <w:color w:val="000000"/>
                <w:kern w:val="0"/>
                <w:szCs w:val="21"/>
                <w:lang w:bidi="ar"/>
              </w:rPr>
              <w:t>序号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b/>
                <w:color w:val="000000"/>
                <w:szCs w:val="21"/>
              </w:rPr>
            </w:pPr>
            <w:r>
              <w:rPr>
                <w:rFonts w:hint="eastAsia" w:ascii="宋体" w:hAnsi="宋体" w:eastAsia="宋体" w:cs="宋体"/>
                <w:b/>
                <w:color w:val="000000"/>
                <w:kern w:val="0"/>
                <w:szCs w:val="21"/>
                <w:lang w:bidi="ar"/>
              </w:rPr>
              <w:t>工厂</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b/>
                <w:color w:val="000000"/>
                <w:szCs w:val="21"/>
              </w:rPr>
            </w:pPr>
            <w:r>
              <w:rPr>
                <w:rFonts w:hint="eastAsia" w:ascii="宋体" w:hAnsi="宋体" w:eastAsia="宋体" w:cs="宋体"/>
                <w:b/>
                <w:color w:val="000000"/>
                <w:kern w:val="0"/>
                <w:szCs w:val="21"/>
                <w:lang w:bidi="ar"/>
              </w:rPr>
              <w:t>发货区域</w:t>
            </w:r>
          </w:p>
        </w:tc>
        <w:tc>
          <w:tcPr>
            <w:tcW w:w="3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b/>
                <w:color w:val="000000"/>
                <w:szCs w:val="21"/>
              </w:rPr>
            </w:pPr>
            <w:r>
              <w:rPr>
                <w:rFonts w:hint="eastAsia" w:ascii="宋体" w:hAnsi="宋体" w:eastAsia="宋体" w:cs="宋体"/>
                <w:b/>
                <w:color w:val="000000"/>
                <w:kern w:val="0"/>
                <w:szCs w:val="21"/>
                <w:lang w:bidi="ar"/>
              </w:rPr>
              <w:t>2021-202</w:t>
            </w:r>
            <w:r>
              <w:rPr>
                <w:rFonts w:hint="eastAsia" w:ascii="宋体" w:hAnsi="宋体" w:eastAsia="宋体" w:cs="宋体"/>
                <w:b/>
                <w:color w:val="000000"/>
                <w:kern w:val="0"/>
                <w:szCs w:val="21"/>
                <w:lang w:val="en-US" w:eastAsia="zh-CN" w:bidi="ar"/>
              </w:rPr>
              <w:t>2</w:t>
            </w:r>
            <w:r>
              <w:rPr>
                <w:rFonts w:hint="eastAsia" w:ascii="宋体" w:hAnsi="宋体" w:eastAsia="宋体" w:cs="宋体"/>
                <w:b/>
                <w:color w:val="000000"/>
                <w:kern w:val="0"/>
                <w:szCs w:val="21"/>
                <w:lang w:bidi="ar"/>
              </w:rPr>
              <w:t>年预估量（万吨）</w:t>
            </w:r>
          </w:p>
        </w:tc>
      </w:tr>
      <w:tr>
        <w:tblPrEx>
          <w:tblCellMar>
            <w:top w:w="0" w:type="dxa"/>
            <w:left w:w="0" w:type="dxa"/>
            <w:bottom w:w="0" w:type="dxa"/>
            <w:right w:w="0"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岳阳工厂</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江浙、东北</w:t>
            </w:r>
          </w:p>
        </w:tc>
        <w:tc>
          <w:tcPr>
            <w:tcW w:w="33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12.6</w:t>
            </w:r>
          </w:p>
        </w:tc>
      </w:tr>
      <w:tr>
        <w:tblPrEx>
          <w:tblCellMar>
            <w:top w:w="0" w:type="dxa"/>
            <w:left w:w="0" w:type="dxa"/>
            <w:bottom w:w="0" w:type="dxa"/>
            <w:right w:w="0"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荆门工厂</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江浙、东北</w:t>
            </w:r>
          </w:p>
        </w:tc>
        <w:tc>
          <w:tcPr>
            <w:tcW w:w="33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12.6</w:t>
            </w:r>
          </w:p>
        </w:tc>
      </w:tr>
      <w:tr>
        <w:tblPrEx>
          <w:tblCellMar>
            <w:top w:w="0" w:type="dxa"/>
            <w:left w:w="0" w:type="dxa"/>
            <w:bottom w:w="0" w:type="dxa"/>
            <w:right w:w="0"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德阳工厂</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江浙</w:t>
            </w:r>
          </w:p>
        </w:tc>
        <w:tc>
          <w:tcPr>
            <w:tcW w:w="33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5.4</w:t>
            </w:r>
          </w:p>
        </w:tc>
      </w:tr>
      <w:tr>
        <w:tblPrEx>
          <w:tblCellMar>
            <w:top w:w="0" w:type="dxa"/>
            <w:left w:w="0" w:type="dxa"/>
            <w:bottom w:w="0" w:type="dxa"/>
            <w:right w:w="0"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芜湖工厂</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江浙、东北</w:t>
            </w:r>
          </w:p>
        </w:tc>
        <w:tc>
          <w:tcPr>
            <w:tcW w:w="33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6</w:t>
            </w:r>
          </w:p>
        </w:tc>
      </w:tr>
      <w:tr>
        <w:tblPrEx>
          <w:tblCellMar>
            <w:top w:w="0" w:type="dxa"/>
            <w:left w:w="0" w:type="dxa"/>
            <w:bottom w:w="0" w:type="dxa"/>
            <w:right w:w="0" w:type="dxa"/>
          </w:tblCellMar>
        </w:tblPrEx>
        <w:trPr>
          <w:trHeight w:val="2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惠州工厂</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山东、河北</w:t>
            </w:r>
          </w:p>
        </w:tc>
        <w:tc>
          <w:tcPr>
            <w:tcW w:w="33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2.4</w:t>
            </w:r>
          </w:p>
        </w:tc>
      </w:tr>
    </w:tbl>
    <w:p>
      <w:pPr>
        <w:widowControl/>
        <w:spacing w:before="156" w:beforeLines="50" w:after="156" w:afterLines="50" w:line="440" w:lineRule="exact"/>
        <w:jc w:val="left"/>
        <w:rPr>
          <w:rFonts w:cs="Arial" w:asciiTheme="minorEastAsia" w:hAnsiTheme="minorEastAsia"/>
          <w:kern w:val="0"/>
          <w:sz w:val="18"/>
          <w:szCs w:val="18"/>
        </w:rPr>
      </w:pPr>
      <w:r>
        <w:rPr>
          <w:rFonts w:hint="eastAsia" w:cs="Arial" w:asciiTheme="minorEastAsia" w:hAnsiTheme="minorEastAsia"/>
          <w:kern w:val="0"/>
          <w:sz w:val="24"/>
          <w:szCs w:val="24"/>
        </w:rPr>
        <w:t>2、执行技术标准</w:t>
      </w:r>
    </w:p>
    <w:p>
      <w:pPr>
        <w:widowControl/>
        <w:adjustRightInd w:val="0"/>
        <w:spacing w:line="440" w:lineRule="exact"/>
        <w:jc w:val="left"/>
        <w:rPr>
          <w:rFonts w:cs="Arial" w:asciiTheme="minorEastAsia" w:hAnsiTheme="minorEastAsia"/>
          <w:kern w:val="0"/>
          <w:sz w:val="18"/>
          <w:szCs w:val="18"/>
        </w:rPr>
      </w:pPr>
      <w:r>
        <w:rPr>
          <w:rFonts w:hint="eastAsia" w:cs="宋体" w:asciiTheme="minorEastAsia" w:hAnsiTheme="minorEastAsia"/>
          <w:color w:val="000000" w:themeColor="text1"/>
          <w:kern w:val="0"/>
          <w:sz w:val="24"/>
          <w:szCs w:val="24"/>
          <w14:textFill>
            <w14:solidFill>
              <w14:schemeClr w14:val="tx1"/>
            </w14:solidFill>
          </w14:textFill>
        </w:rPr>
        <w:t>详见招标文件。</w:t>
      </w:r>
    </w:p>
    <w:p>
      <w:pPr>
        <w:spacing w:before="156" w:beforeLines="50" w:after="156" w:afterLines="50" w:line="400" w:lineRule="exact"/>
        <w:rPr>
          <w:rFonts w:asciiTheme="minorEastAsia" w:hAnsiTheme="minorEastAsia"/>
          <w:b/>
          <w:kern w:val="0"/>
          <w:sz w:val="24"/>
          <w:szCs w:val="24"/>
        </w:rPr>
      </w:pPr>
      <w:r>
        <w:rPr>
          <w:rFonts w:hint="eastAsia" w:asciiTheme="minorEastAsia" w:hAnsiTheme="minorEastAsia"/>
          <w:b/>
          <w:kern w:val="0"/>
          <w:sz w:val="24"/>
          <w:szCs w:val="24"/>
        </w:rPr>
        <w:t>三、投标单位资质要求</w:t>
      </w:r>
    </w:p>
    <w:p>
      <w:pPr>
        <w:spacing w:before="156" w:beforeLines="50" w:after="156" w:afterLines="50" w:line="400" w:lineRule="exact"/>
        <w:rPr>
          <w:rFonts w:ascii="宋体" w:hAnsi="宋体"/>
          <w:sz w:val="24"/>
          <w:szCs w:val="24"/>
        </w:rPr>
      </w:pPr>
      <w:r>
        <w:rPr>
          <w:rFonts w:hint="eastAsia" w:ascii="宋体" w:hAnsi="宋体"/>
          <w:sz w:val="24"/>
          <w:szCs w:val="24"/>
        </w:rPr>
        <w:t>(1)为在中华人民共和国境内注册的独立法人，注册资金不少于5</w:t>
      </w:r>
      <w:r>
        <w:rPr>
          <w:rFonts w:ascii="宋体" w:hAnsi="宋体"/>
          <w:sz w:val="24"/>
          <w:szCs w:val="24"/>
        </w:rPr>
        <w:t>00万</w:t>
      </w:r>
      <w:r>
        <w:rPr>
          <w:rFonts w:hint="eastAsia" w:ascii="宋体" w:hAnsi="宋体"/>
          <w:sz w:val="24"/>
          <w:szCs w:val="24"/>
        </w:rPr>
        <w:t xml:space="preserve">； </w:t>
      </w:r>
    </w:p>
    <w:p>
      <w:pPr>
        <w:spacing w:before="156" w:beforeLines="50" w:after="156" w:afterLines="50" w:line="400" w:lineRule="exact"/>
        <w:rPr>
          <w:rFonts w:ascii="宋体" w:hAnsi="宋体"/>
          <w:sz w:val="24"/>
          <w:szCs w:val="24"/>
        </w:rPr>
      </w:pPr>
      <w:r>
        <w:rPr>
          <w:rFonts w:hint="eastAsia" w:ascii="宋体" w:hAnsi="宋体"/>
          <w:sz w:val="24"/>
          <w:szCs w:val="24"/>
        </w:rPr>
        <w:t xml:space="preserve">(2)具有良好的商业信誉和健全的财务会计制度；   </w:t>
      </w:r>
    </w:p>
    <w:p>
      <w:pPr>
        <w:spacing w:before="156" w:beforeLines="50" w:after="156" w:afterLines="50" w:line="400" w:lineRule="exact"/>
        <w:rPr>
          <w:rFonts w:ascii="宋体" w:hAnsi="宋体"/>
          <w:sz w:val="24"/>
          <w:szCs w:val="24"/>
        </w:rPr>
      </w:pPr>
      <w:r>
        <w:rPr>
          <w:rFonts w:hint="eastAsia" w:ascii="宋体" w:hAnsi="宋体"/>
          <w:sz w:val="24"/>
          <w:szCs w:val="24"/>
        </w:rPr>
        <w:t xml:space="preserve">(3)具有履行合同所必需的设备和专业技术能力；    </w:t>
      </w:r>
    </w:p>
    <w:p>
      <w:pPr>
        <w:spacing w:before="156" w:beforeLines="50" w:after="156" w:afterLines="50" w:line="400" w:lineRule="exact"/>
        <w:rPr>
          <w:rFonts w:ascii="宋体" w:hAnsi="宋体"/>
          <w:sz w:val="24"/>
          <w:szCs w:val="24"/>
        </w:rPr>
      </w:pPr>
      <w:r>
        <w:rPr>
          <w:rFonts w:hint="eastAsia" w:ascii="宋体" w:hAnsi="宋体"/>
          <w:sz w:val="24"/>
          <w:szCs w:val="24"/>
        </w:rPr>
        <w:t xml:space="preserve">(4)有依法缴纳税收和社会保障资金的良好记录；     </w:t>
      </w:r>
    </w:p>
    <w:p>
      <w:pPr>
        <w:spacing w:before="156" w:beforeLines="50" w:after="156" w:afterLines="50" w:line="400" w:lineRule="exact"/>
        <w:rPr>
          <w:rFonts w:ascii="宋体" w:hAnsi="宋体"/>
          <w:sz w:val="24"/>
          <w:szCs w:val="24"/>
        </w:rPr>
      </w:pPr>
      <w:r>
        <w:rPr>
          <w:rFonts w:hint="eastAsia" w:ascii="宋体" w:hAnsi="宋体"/>
          <w:sz w:val="24"/>
          <w:szCs w:val="24"/>
        </w:rPr>
        <w:t>(5)参加采购活动近三年内，在经营活动中没有重大违法记录；</w:t>
      </w:r>
    </w:p>
    <w:p>
      <w:pPr>
        <w:spacing w:before="156" w:beforeLines="50" w:after="156" w:afterLines="50" w:line="400" w:lineRule="exact"/>
        <w:rPr>
          <w:rFonts w:ascii="宋体" w:hAnsi="宋体"/>
          <w:sz w:val="24"/>
          <w:szCs w:val="24"/>
        </w:rPr>
      </w:pPr>
      <w:r>
        <w:rPr>
          <w:rFonts w:hint="eastAsia" w:ascii="宋体" w:hAnsi="宋体"/>
          <w:sz w:val="24"/>
          <w:szCs w:val="24"/>
        </w:rPr>
        <w:t>(</w:t>
      </w:r>
      <w:r>
        <w:rPr>
          <w:rFonts w:ascii="宋体" w:hAnsi="宋体"/>
          <w:sz w:val="24"/>
          <w:szCs w:val="24"/>
        </w:rPr>
        <w:t>6</w:t>
      </w:r>
      <w:r>
        <w:rPr>
          <w:rFonts w:hint="eastAsia" w:ascii="宋体" w:hAnsi="宋体"/>
          <w:sz w:val="24"/>
          <w:szCs w:val="24"/>
        </w:rPr>
        <w:t>)未被工商行政管理机关在全国企业信用信息公示系统中列入严重违法失信企业名单，未被最高人民法院在“信用中国”网站列入失信被执行人名单、重大税收违法案件当事人名单；</w:t>
      </w:r>
    </w:p>
    <w:p>
      <w:pPr>
        <w:spacing w:before="156" w:beforeLines="50" w:after="156" w:afterLines="50" w:line="400" w:lineRule="exact"/>
        <w:rPr>
          <w:rFonts w:ascii="宋体" w:hAnsi="宋体"/>
          <w:sz w:val="24"/>
          <w:szCs w:val="24"/>
        </w:rPr>
      </w:pPr>
      <w:r>
        <w:rPr>
          <w:rFonts w:hint="eastAsia" w:ascii="宋体" w:hAnsi="宋体"/>
          <w:sz w:val="24"/>
          <w:szCs w:val="24"/>
        </w:rPr>
        <w:t>(</w:t>
      </w:r>
      <w:r>
        <w:rPr>
          <w:rFonts w:ascii="宋体" w:hAnsi="宋体"/>
          <w:sz w:val="24"/>
          <w:szCs w:val="24"/>
        </w:rPr>
        <w:t>7</w:t>
      </w:r>
      <w:r>
        <w:rPr>
          <w:rFonts w:hint="eastAsia" w:ascii="宋体" w:hAnsi="宋体"/>
          <w:sz w:val="24"/>
          <w:szCs w:val="24"/>
        </w:rPr>
        <w:t>)</w:t>
      </w:r>
      <w:r>
        <w:rPr>
          <w:rFonts w:ascii="宋体" w:hAnsi="宋体" w:eastAsia="宋体"/>
          <w:sz w:val="24"/>
          <w:szCs w:val="24"/>
        </w:rPr>
        <w:t>单位负责人为同一人或者存在控股、管理关系的不同单位，不得参加同一标段投标或者未划分标段的同一招标项目投标</w:t>
      </w:r>
      <w:r>
        <w:rPr>
          <w:rFonts w:hint="eastAsia" w:ascii="宋体" w:hAnsi="宋体"/>
          <w:sz w:val="24"/>
          <w:szCs w:val="24"/>
        </w:rPr>
        <w:t>；</w:t>
      </w:r>
    </w:p>
    <w:p>
      <w:pPr>
        <w:spacing w:before="156" w:beforeLines="50" w:after="156" w:afterLines="50" w:line="400" w:lineRule="exact"/>
        <w:rPr>
          <w:rFonts w:ascii="宋体" w:hAnsi="宋体"/>
          <w:sz w:val="24"/>
          <w:szCs w:val="24"/>
        </w:rPr>
      </w:pPr>
      <w:r>
        <w:rPr>
          <w:rFonts w:hint="eastAsia" w:ascii="宋体" w:hAnsi="宋体"/>
          <w:sz w:val="24"/>
          <w:szCs w:val="24"/>
        </w:rPr>
        <w:t>(</w:t>
      </w:r>
      <w:r>
        <w:rPr>
          <w:rFonts w:ascii="宋体" w:hAnsi="宋体"/>
          <w:sz w:val="24"/>
          <w:szCs w:val="24"/>
        </w:rPr>
        <w:t>8</w:t>
      </w:r>
      <w:r>
        <w:rPr>
          <w:rFonts w:hint="eastAsia" w:ascii="宋体" w:hAnsi="宋体"/>
          <w:sz w:val="24"/>
          <w:szCs w:val="24"/>
        </w:rPr>
        <w:t>)</w:t>
      </w:r>
      <w:r>
        <w:rPr>
          <w:rFonts w:hint="eastAsia"/>
        </w:rPr>
        <w:t xml:space="preserve"> </w:t>
      </w:r>
      <w:r>
        <w:rPr>
          <w:rFonts w:hint="eastAsia" w:ascii="宋体" w:hAnsi="宋体"/>
          <w:sz w:val="24"/>
          <w:szCs w:val="24"/>
        </w:rPr>
        <w:t>具备水路运输经营许可证或者水路运输货物代理证或者船务代理证；</w:t>
      </w:r>
    </w:p>
    <w:p>
      <w:pPr>
        <w:spacing w:before="156" w:beforeLines="50" w:after="156" w:afterLines="50" w:line="400" w:lineRule="exact"/>
        <w:rPr>
          <w:rFonts w:ascii="宋体" w:hAnsi="宋体"/>
          <w:sz w:val="24"/>
          <w:szCs w:val="24"/>
        </w:rPr>
      </w:pPr>
      <w:r>
        <w:rPr>
          <w:rFonts w:hint="eastAsia" w:ascii="宋体" w:hAnsi="宋体"/>
          <w:sz w:val="24"/>
          <w:szCs w:val="24"/>
        </w:rPr>
        <w:t>(</w:t>
      </w:r>
      <w:r>
        <w:rPr>
          <w:rFonts w:ascii="宋体" w:hAnsi="宋体"/>
          <w:sz w:val="24"/>
          <w:szCs w:val="24"/>
        </w:rPr>
        <w:t>9</w:t>
      </w:r>
      <w:r>
        <w:rPr>
          <w:rFonts w:hint="eastAsia" w:ascii="宋体" w:hAnsi="宋体"/>
          <w:sz w:val="24"/>
          <w:szCs w:val="24"/>
        </w:rPr>
        <w:t>)注册时间不少于一年，具备与本次招标内容主要技术指标相同或类似的良好业绩，且能够提供近三年内在相关行业成功服务的案例；</w:t>
      </w:r>
    </w:p>
    <w:p>
      <w:pPr>
        <w:widowControl/>
        <w:spacing w:line="360" w:lineRule="auto"/>
        <w:rPr>
          <w:rFonts w:ascii="宋体" w:hAnsi="宋体" w:cs="宋体"/>
          <w:kern w:val="0"/>
          <w:sz w:val="24"/>
          <w:szCs w:val="24"/>
        </w:rPr>
      </w:pPr>
      <w:r>
        <w:rPr>
          <w:rFonts w:hint="eastAsia" w:ascii="宋体" w:hAnsi="宋体"/>
          <w:sz w:val="24"/>
          <w:szCs w:val="24"/>
        </w:rPr>
        <w:t>(</w:t>
      </w:r>
      <w:r>
        <w:rPr>
          <w:rFonts w:ascii="宋体" w:hAnsi="宋体"/>
          <w:sz w:val="24"/>
          <w:szCs w:val="24"/>
        </w:rPr>
        <w:t>10</w:t>
      </w:r>
      <w:r>
        <w:rPr>
          <w:rFonts w:hint="eastAsia" w:ascii="宋体" w:hAnsi="宋体"/>
          <w:sz w:val="24"/>
          <w:szCs w:val="24"/>
        </w:rPr>
        <w:t>)</w:t>
      </w:r>
      <w:r>
        <w:rPr>
          <w:rFonts w:hint="eastAsia" w:ascii="宋体" w:hAnsi="宋体" w:cs="宋体"/>
          <w:kern w:val="0"/>
          <w:sz w:val="24"/>
          <w:szCs w:val="24"/>
        </w:rPr>
        <w:t>在东方雨虹集团或子公司合作一年及以上，综合表现良好，可不受注册资金、注册年限资格条件限制；</w:t>
      </w:r>
    </w:p>
    <w:p>
      <w:pPr>
        <w:widowControl/>
        <w:spacing w:line="360" w:lineRule="auto"/>
        <w:rPr>
          <w:rFonts w:ascii="宋体" w:hAnsi="宋体" w:cs="宋体"/>
          <w:kern w:val="0"/>
          <w:sz w:val="24"/>
          <w:szCs w:val="24"/>
        </w:rPr>
      </w:pPr>
      <w:r>
        <w:rPr>
          <w:rFonts w:hint="eastAsia" w:ascii="宋体" w:hAnsi="宋体"/>
          <w:sz w:val="24"/>
          <w:szCs w:val="24"/>
        </w:rPr>
        <w:t>(</w:t>
      </w:r>
      <w:r>
        <w:rPr>
          <w:rFonts w:ascii="宋体" w:hAnsi="宋体"/>
          <w:sz w:val="24"/>
          <w:szCs w:val="24"/>
        </w:rPr>
        <w:t>11</w:t>
      </w:r>
      <w:r>
        <w:rPr>
          <w:rFonts w:hint="eastAsia" w:ascii="宋体" w:hAnsi="宋体"/>
          <w:sz w:val="24"/>
          <w:szCs w:val="24"/>
        </w:rPr>
        <w:t>)</w:t>
      </w:r>
      <w:r>
        <w:rPr>
          <w:rFonts w:hint="eastAsia" w:ascii="宋体" w:hAnsi="宋体" w:cs="宋体"/>
          <w:kern w:val="0"/>
          <w:sz w:val="24"/>
          <w:szCs w:val="24"/>
        </w:rPr>
        <w:t xml:space="preserve"> 在东方雨虹集团或子公司合作中，综合表现较差或遭多次投诉并屡次不改的，没有竞标资格；</w:t>
      </w:r>
    </w:p>
    <w:p>
      <w:pPr>
        <w:widowControl/>
        <w:spacing w:line="360" w:lineRule="auto"/>
        <w:rPr>
          <w:rFonts w:ascii="宋体" w:hAnsi="宋体" w:cs="宋体"/>
          <w:kern w:val="0"/>
          <w:sz w:val="24"/>
          <w:szCs w:val="24"/>
        </w:rPr>
      </w:pPr>
      <w:r>
        <w:rPr>
          <w:rFonts w:hint="eastAsia" w:ascii="宋体" w:hAnsi="宋体"/>
          <w:sz w:val="24"/>
          <w:szCs w:val="24"/>
        </w:rPr>
        <w:t>(</w:t>
      </w:r>
      <w:r>
        <w:rPr>
          <w:rFonts w:ascii="宋体" w:hAnsi="宋体"/>
          <w:sz w:val="24"/>
          <w:szCs w:val="24"/>
        </w:rPr>
        <w:t>12</w:t>
      </w:r>
      <w:r>
        <w:rPr>
          <w:rFonts w:hint="eastAsia" w:ascii="宋体" w:hAnsi="宋体"/>
          <w:sz w:val="24"/>
          <w:szCs w:val="24"/>
        </w:rPr>
        <w:t>)</w:t>
      </w:r>
      <w:r>
        <w:rPr>
          <w:rFonts w:hint="eastAsia" w:ascii="宋体" w:hAnsi="宋体" w:cs="宋体"/>
          <w:kern w:val="0"/>
          <w:sz w:val="24"/>
          <w:szCs w:val="24"/>
        </w:rPr>
        <w:t>截止开标日期前5天时，每条路线投标单位数量不足3家时，按注册资金500万元以下公司的排名顶替（从高到低），直至达到3家投标公司；投标单位数量超过6家时，可</w:t>
      </w:r>
      <w:r>
        <w:rPr>
          <w:rFonts w:ascii="宋体" w:hAnsi="宋体" w:cs="宋体"/>
          <w:kern w:val="0"/>
          <w:sz w:val="24"/>
          <w:szCs w:val="24"/>
        </w:rPr>
        <w:t>根据供应商综合排名</w:t>
      </w:r>
      <w:r>
        <w:rPr>
          <w:rFonts w:hint="eastAsia" w:ascii="宋体" w:hAnsi="宋体" w:cs="宋体"/>
          <w:kern w:val="0"/>
          <w:sz w:val="24"/>
          <w:szCs w:val="24"/>
        </w:rPr>
        <w:t>（从低到高）剔除部分</w:t>
      </w:r>
      <w:r>
        <w:rPr>
          <w:rFonts w:ascii="宋体" w:hAnsi="宋体" w:cs="宋体"/>
          <w:kern w:val="0"/>
          <w:sz w:val="24"/>
          <w:szCs w:val="24"/>
        </w:rPr>
        <w:t>供应商</w:t>
      </w:r>
      <w:r>
        <w:rPr>
          <w:rFonts w:hint="eastAsia" w:ascii="宋体" w:hAnsi="宋体" w:cs="宋体"/>
          <w:kern w:val="0"/>
          <w:sz w:val="24"/>
          <w:szCs w:val="24"/>
        </w:rPr>
        <w:t>（视情况选择）。</w:t>
      </w:r>
    </w:p>
    <w:p>
      <w:pPr>
        <w:widowControl/>
        <w:spacing w:line="360" w:lineRule="auto"/>
        <w:rPr>
          <w:rFonts w:asciiTheme="minorEastAsia" w:hAnsiTheme="minorEastAsia"/>
          <w:b/>
          <w:sz w:val="24"/>
          <w:szCs w:val="24"/>
        </w:rPr>
      </w:pPr>
      <w:r>
        <w:rPr>
          <w:rFonts w:hint="eastAsia" w:asciiTheme="minorEastAsia" w:hAnsiTheme="minorEastAsia"/>
          <w:b/>
          <w:sz w:val="24"/>
          <w:szCs w:val="24"/>
        </w:rPr>
        <w:t>四、投标单位报名方式及所需提供资料（复印件盖章）</w:t>
      </w:r>
    </w:p>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 </w:t>
      </w:r>
      <w:r>
        <w:rPr>
          <w:rFonts w:hint="eastAsia" w:asciiTheme="minorEastAsia" w:hAnsiTheme="minorEastAsia"/>
          <w:sz w:val="24"/>
          <w:szCs w:val="24"/>
        </w:rPr>
        <w:t>公司介绍,包括企业的成立时间、规模、员工人数、企业业务情况等；</w:t>
      </w:r>
    </w:p>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(2)法人营业执照副本(年审合格）、</w:t>
      </w:r>
      <w:r>
        <w:rPr>
          <w:rFonts w:hint="eastAsia" w:ascii="宋体" w:hAnsi="宋体"/>
          <w:sz w:val="24"/>
          <w:szCs w:val="24"/>
        </w:rPr>
        <w:t>水路运输经营许可证或者水路运输货物代理证或者船务代理证</w:t>
      </w:r>
      <w:r>
        <w:rPr>
          <w:rFonts w:hint="eastAsia" w:asciiTheme="minorEastAsia" w:hAnsiTheme="minorEastAsia"/>
          <w:sz w:val="24"/>
          <w:szCs w:val="24"/>
        </w:rPr>
        <w:t>等相关专业资质；</w:t>
      </w:r>
    </w:p>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 xml:space="preserve"> </w:t>
      </w:r>
      <w:r>
        <w:rPr>
          <w:rFonts w:hint="eastAsia" w:asciiTheme="minorEastAsia" w:hAnsiTheme="minorEastAsia"/>
          <w:sz w:val="24"/>
          <w:szCs w:val="24"/>
        </w:rPr>
        <w:t>2</w:t>
      </w:r>
      <w:r>
        <w:rPr>
          <w:rFonts w:asciiTheme="minorEastAsia" w:hAnsiTheme="minorEastAsia"/>
          <w:sz w:val="24"/>
          <w:szCs w:val="24"/>
        </w:rPr>
        <w:t>01</w:t>
      </w:r>
      <w:r>
        <w:rPr>
          <w:rFonts w:hint="eastAsia" w:asciiTheme="minorEastAsia" w:hAnsiTheme="minorEastAsia"/>
          <w:sz w:val="24"/>
          <w:szCs w:val="24"/>
        </w:rPr>
        <w:t>8</w:t>
      </w:r>
      <w:r>
        <w:rPr>
          <w:rFonts w:asciiTheme="minorEastAsia" w:hAnsiTheme="minorEastAsia"/>
          <w:sz w:val="24"/>
          <w:szCs w:val="24"/>
        </w:rPr>
        <w:t>至</w:t>
      </w:r>
      <w:r>
        <w:rPr>
          <w:rFonts w:hint="eastAsia" w:asciiTheme="minorEastAsia" w:hAnsiTheme="minorEastAsia"/>
          <w:sz w:val="24"/>
          <w:szCs w:val="24"/>
        </w:rPr>
        <w:t>2</w:t>
      </w:r>
      <w:r>
        <w:rPr>
          <w:rFonts w:asciiTheme="minorEastAsia" w:hAnsiTheme="minorEastAsia"/>
          <w:sz w:val="24"/>
          <w:szCs w:val="24"/>
        </w:rPr>
        <w:t>0</w:t>
      </w:r>
      <w:r>
        <w:rPr>
          <w:rFonts w:hint="eastAsia" w:asciiTheme="minorEastAsia" w:hAnsiTheme="minorEastAsia"/>
          <w:sz w:val="24"/>
          <w:szCs w:val="24"/>
        </w:rPr>
        <w:t>20</w:t>
      </w:r>
      <w:r>
        <w:rPr>
          <w:rFonts w:asciiTheme="minorEastAsia" w:hAnsiTheme="minorEastAsia"/>
          <w:sz w:val="24"/>
          <w:szCs w:val="24"/>
        </w:rPr>
        <w:t>年</w:t>
      </w:r>
      <w:r>
        <w:rPr>
          <w:rFonts w:hint="eastAsia" w:asciiTheme="minorEastAsia" w:hAnsiTheme="minorEastAsia"/>
          <w:sz w:val="24"/>
          <w:szCs w:val="24"/>
        </w:rPr>
        <w:t>经第三方审计事务所出具的财务报告，至少包括资产负债表、现金流量表、利润表；</w:t>
      </w:r>
    </w:p>
    <w:p>
      <w:pPr>
        <w:pStyle w:val="11"/>
        <w:spacing w:before="170" w:after="170" w:line="403" w:lineRule="auto"/>
        <w:rPr>
          <w:rFonts w:asciiTheme="minorEastAsia" w:hAnsiTheme="minorEastAsia" w:eastAsiaTheme="minorEastAsia" w:cstheme="minorBidi"/>
          <w:kern w:val="2"/>
        </w:rPr>
      </w:pPr>
      <w:r>
        <w:rPr>
          <w:rFonts w:hint="eastAsia" w:asciiTheme="minorEastAsia" w:hAnsiTheme="minorEastAsia" w:eastAsiaTheme="minorEastAsia"/>
        </w:rPr>
        <w:t>(</w:t>
      </w:r>
      <w:r>
        <w:rPr>
          <w:rFonts w:asciiTheme="minorEastAsia" w:hAnsiTheme="minorEastAsia" w:eastAsiaTheme="minorEastAsia"/>
        </w:rPr>
        <w:t>4</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rPr>
        <w:t>具备与本次招标内容主要技术指标相同或类似的良好业绩</w:t>
      </w:r>
      <w:r>
        <w:rPr>
          <w:rFonts w:hint="eastAsia" w:asciiTheme="minorEastAsia" w:hAnsiTheme="minorEastAsia" w:eastAsiaTheme="minorEastAsia" w:cstheme="minorBidi"/>
          <w:kern w:val="2"/>
        </w:rPr>
        <w:t>，提供相关证明材料(至少三份合同或中标通知书复印件)；</w:t>
      </w:r>
    </w:p>
    <w:p>
      <w:pPr>
        <w:pStyle w:val="11"/>
        <w:spacing w:before="57" w:after="57" w:line="268" w:lineRule="auto"/>
        <w:rPr>
          <w:rFonts w:asciiTheme="minorEastAsia" w:hAnsiTheme="minorEastAsia" w:eastAsiaTheme="minorEastAsia" w:cstheme="minorBidi"/>
          <w:kern w:val="2"/>
        </w:rPr>
      </w:pPr>
      <w:r>
        <w:rPr>
          <w:rFonts w:hint="eastAsia" w:asciiTheme="minorEastAsia" w:hAnsiTheme="minorEastAsia" w:eastAsiaTheme="minorEastAsia"/>
        </w:rPr>
        <w:t>(</w:t>
      </w:r>
      <w:r>
        <w:rPr>
          <w:rFonts w:asciiTheme="minorEastAsia" w:hAnsiTheme="minorEastAsia" w:eastAsiaTheme="minorEastAsia"/>
        </w:rPr>
        <w:t>5</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asciiTheme="minorEastAsia" w:hAnsiTheme="minorEastAsia" w:eastAsiaTheme="minorEastAsia" w:cstheme="minorBidi"/>
          <w:kern w:val="2"/>
        </w:rPr>
        <w:t>其他投标单位认为提供的资格证明文件；</w:t>
      </w:r>
    </w:p>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w:t>
      </w:r>
      <w:r>
        <w:rPr>
          <w:rFonts w:hint="eastAsia" w:asciiTheme="minorEastAsia" w:hAnsiTheme="minorEastAsia"/>
          <w:sz w:val="24"/>
          <w:szCs w:val="24"/>
        </w:rPr>
        <w:t>)</w:t>
      </w:r>
      <w:r>
        <w:rPr>
          <w:rFonts w:asciiTheme="minorEastAsia" w:hAnsiTheme="minorEastAsia"/>
          <w:sz w:val="24"/>
          <w:szCs w:val="24"/>
        </w:rPr>
        <w:t xml:space="preserve"> </w:t>
      </w:r>
      <w:r>
        <w:rPr>
          <w:rFonts w:hint="eastAsia" w:asciiTheme="minorEastAsia" w:hAnsiTheme="minorEastAsia"/>
          <w:sz w:val="24"/>
          <w:szCs w:val="24"/>
        </w:rPr>
        <w:t>联络信息表（W</w:t>
      </w:r>
      <w:r>
        <w:rPr>
          <w:rFonts w:asciiTheme="minorEastAsia" w:hAnsiTheme="minorEastAsia"/>
          <w:sz w:val="24"/>
          <w:szCs w:val="24"/>
        </w:rPr>
        <w:t>ORD</w:t>
      </w:r>
      <w:r>
        <w:rPr>
          <w:rFonts w:hint="eastAsia" w:asciiTheme="minorEastAsia" w:hAnsiTheme="minorEastAsia"/>
          <w:sz w:val="24"/>
          <w:szCs w:val="24"/>
        </w:rPr>
        <w:t>可编辑版）：</w:t>
      </w:r>
    </w:p>
    <w:tbl>
      <w:tblPr>
        <w:tblStyle w:val="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单位名称</w:t>
            </w:r>
          </w:p>
        </w:tc>
        <w:tc>
          <w:tcPr>
            <w:tcW w:w="1382" w:type="dxa"/>
          </w:tcPr>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公司地址</w:t>
            </w:r>
          </w:p>
        </w:tc>
        <w:tc>
          <w:tcPr>
            <w:tcW w:w="1383" w:type="dxa"/>
          </w:tcPr>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联系人</w:t>
            </w:r>
          </w:p>
        </w:tc>
        <w:tc>
          <w:tcPr>
            <w:tcW w:w="1383" w:type="dxa"/>
          </w:tcPr>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联系电话</w:t>
            </w:r>
          </w:p>
        </w:tc>
        <w:tc>
          <w:tcPr>
            <w:tcW w:w="1383" w:type="dxa"/>
          </w:tcPr>
          <w:p>
            <w:pPr>
              <w:spacing w:before="156" w:beforeLines="50" w:after="156" w:afterLines="50" w:line="400" w:lineRule="exact"/>
              <w:rPr>
                <w:rFonts w:asciiTheme="minorEastAsia" w:hAnsiTheme="minorEastAsia"/>
                <w:sz w:val="24"/>
                <w:szCs w:val="24"/>
              </w:rPr>
            </w:pPr>
            <w:r>
              <w:rPr>
                <w:rFonts w:asciiTheme="minorEastAsia" w:hAnsiTheme="minorEastAsia"/>
                <w:sz w:val="24"/>
                <w:szCs w:val="24"/>
              </w:rPr>
              <w:t>邮箱地址</w:t>
            </w:r>
          </w:p>
        </w:tc>
        <w:tc>
          <w:tcPr>
            <w:tcW w:w="1587" w:type="dxa"/>
          </w:tcPr>
          <w:p>
            <w:pPr>
              <w:spacing w:before="156" w:beforeLines="50" w:after="156" w:afterLines="50" w:line="400" w:lineRule="exact"/>
              <w:rPr>
                <w:rFonts w:asciiTheme="minorEastAsia" w:hAnsiTheme="minorEastAsia"/>
                <w:sz w:val="24"/>
                <w:szCs w:val="24"/>
              </w:rPr>
            </w:pPr>
            <w:r>
              <w:rPr>
                <w:rFonts w:hint="eastAsia" w:asciiTheme="minorEastAsia" w:hAnsiTheme="minor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tcPr>
          <w:p>
            <w:pPr>
              <w:spacing w:before="156" w:beforeLines="50" w:after="156" w:afterLines="50" w:line="400" w:lineRule="exact"/>
              <w:rPr>
                <w:rFonts w:asciiTheme="minorEastAsia" w:hAnsiTheme="minorEastAsia"/>
                <w:sz w:val="24"/>
                <w:szCs w:val="24"/>
              </w:rPr>
            </w:pPr>
          </w:p>
        </w:tc>
        <w:tc>
          <w:tcPr>
            <w:tcW w:w="1382" w:type="dxa"/>
          </w:tcPr>
          <w:p>
            <w:pPr>
              <w:spacing w:before="156" w:beforeLines="50" w:after="156" w:afterLines="50" w:line="400" w:lineRule="exact"/>
              <w:rPr>
                <w:rFonts w:asciiTheme="minorEastAsia" w:hAnsiTheme="minorEastAsia"/>
                <w:sz w:val="24"/>
                <w:szCs w:val="24"/>
              </w:rPr>
            </w:pPr>
          </w:p>
        </w:tc>
        <w:tc>
          <w:tcPr>
            <w:tcW w:w="1383" w:type="dxa"/>
          </w:tcPr>
          <w:p>
            <w:pPr>
              <w:spacing w:before="156" w:beforeLines="50" w:after="156" w:afterLines="50" w:line="400" w:lineRule="exact"/>
              <w:rPr>
                <w:rFonts w:asciiTheme="minorEastAsia" w:hAnsiTheme="minorEastAsia"/>
                <w:sz w:val="24"/>
                <w:szCs w:val="24"/>
              </w:rPr>
            </w:pPr>
          </w:p>
        </w:tc>
        <w:tc>
          <w:tcPr>
            <w:tcW w:w="1383" w:type="dxa"/>
          </w:tcPr>
          <w:p>
            <w:pPr>
              <w:spacing w:before="156" w:beforeLines="50" w:after="156" w:afterLines="50" w:line="400" w:lineRule="exact"/>
              <w:rPr>
                <w:rFonts w:asciiTheme="minorEastAsia" w:hAnsiTheme="minorEastAsia"/>
                <w:sz w:val="24"/>
                <w:szCs w:val="24"/>
              </w:rPr>
            </w:pPr>
          </w:p>
        </w:tc>
        <w:tc>
          <w:tcPr>
            <w:tcW w:w="1383" w:type="dxa"/>
          </w:tcPr>
          <w:p>
            <w:pPr>
              <w:spacing w:before="156" w:beforeLines="50" w:after="156" w:afterLines="50" w:line="400" w:lineRule="exact"/>
              <w:rPr>
                <w:rFonts w:asciiTheme="minorEastAsia" w:hAnsiTheme="minorEastAsia"/>
                <w:sz w:val="24"/>
                <w:szCs w:val="24"/>
              </w:rPr>
            </w:pPr>
          </w:p>
        </w:tc>
        <w:tc>
          <w:tcPr>
            <w:tcW w:w="1587" w:type="dxa"/>
          </w:tcPr>
          <w:p>
            <w:pPr>
              <w:spacing w:before="156" w:beforeLines="50" w:after="156" w:afterLines="50" w:line="400" w:lineRule="exact"/>
              <w:rPr>
                <w:rFonts w:asciiTheme="minorEastAsia" w:hAnsiTheme="minorEastAsia"/>
                <w:sz w:val="24"/>
                <w:szCs w:val="24"/>
              </w:rPr>
            </w:pPr>
          </w:p>
        </w:tc>
      </w:tr>
    </w:tbl>
    <w:p>
      <w:pPr>
        <w:spacing w:before="156" w:beforeLines="50" w:after="156" w:afterLines="50" w:line="400" w:lineRule="exact"/>
        <w:rPr>
          <w:rFonts w:asciiTheme="minorEastAsia" w:hAnsiTheme="minorEastAsia"/>
          <w:sz w:val="24"/>
          <w:szCs w:val="24"/>
        </w:rPr>
      </w:pPr>
      <w:r>
        <w:fldChar w:fldCharType="begin"/>
      </w:r>
      <w:r>
        <w:instrText xml:space="preserve"> HYPERLINK "mailto:请将以下复印件资料发送至yuansy@yuhong.com.cn" </w:instrText>
      </w:r>
      <w:r>
        <w:fldChar w:fldCharType="separate"/>
      </w:r>
      <w:r>
        <w:rPr>
          <w:rFonts w:hint="eastAsia" w:asciiTheme="minorEastAsia" w:hAnsiTheme="minorEastAsia"/>
          <w:sz w:val="24"/>
          <w:szCs w:val="24"/>
        </w:rPr>
        <w:t>请将以上复印件资料发送至邮箱</w:t>
      </w:r>
      <w:r>
        <w:rPr>
          <w:rFonts w:hint="eastAsia" w:asciiTheme="minorEastAsia" w:hAnsiTheme="minorEastAsia"/>
          <w:sz w:val="24"/>
          <w:szCs w:val="24"/>
        </w:rPr>
        <w:fldChar w:fldCharType="end"/>
      </w:r>
      <w:r>
        <w:rPr>
          <w:rFonts w:asciiTheme="minorEastAsia" w:hAnsiTheme="minorEastAsia"/>
          <w:sz w:val="24"/>
          <w:szCs w:val="24"/>
          <w:u w:val="single"/>
        </w:rPr>
        <w:t>dfyhzbb01@163.com</w:t>
      </w:r>
      <w:r>
        <w:rPr>
          <w:rFonts w:hint="eastAsia" w:asciiTheme="minorEastAsia" w:hAnsiTheme="minorEastAsia"/>
          <w:sz w:val="24"/>
          <w:szCs w:val="24"/>
        </w:rPr>
        <w:t>（附件大小控制在50M以内）进行初步审核，招标经办人将在48小时内予以回复。</w:t>
      </w:r>
    </w:p>
    <w:p>
      <w:pPr>
        <w:spacing w:before="156" w:beforeLines="50" w:after="156" w:afterLines="50" w:line="400" w:lineRule="exact"/>
        <w:rPr>
          <w:rFonts w:asciiTheme="minorEastAsia" w:hAnsiTheme="minorEastAsia"/>
          <w:b/>
          <w:kern w:val="0"/>
          <w:sz w:val="24"/>
          <w:szCs w:val="24"/>
        </w:rPr>
      </w:pPr>
      <w:r>
        <w:rPr>
          <w:rFonts w:hint="eastAsia" w:asciiTheme="minorEastAsia" w:hAnsiTheme="minorEastAsia"/>
          <w:b/>
          <w:kern w:val="0"/>
          <w:sz w:val="24"/>
          <w:szCs w:val="24"/>
        </w:rPr>
        <w:t>五、招标时间及地点安排</w:t>
      </w:r>
    </w:p>
    <w:p>
      <w:pPr>
        <w:spacing w:before="156" w:beforeLines="50" w:after="156" w:afterLines="50" w:line="400" w:lineRule="exact"/>
        <w:rPr>
          <w:rFonts w:asciiTheme="minorEastAsia" w:hAnsiTheme="minorEastAsia"/>
          <w:kern w:val="0"/>
          <w:sz w:val="24"/>
          <w:szCs w:val="24"/>
        </w:rPr>
      </w:pPr>
      <w:r>
        <w:rPr>
          <w:rFonts w:hint="eastAsia" w:asciiTheme="minorEastAsia" w:hAnsiTheme="minorEastAsia"/>
          <w:kern w:val="0"/>
          <w:sz w:val="24"/>
          <w:szCs w:val="24"/>
        </w:rPr>
        <w:t>报名截止时间：</w:t>
      </w:r>
      <w:r>
        <w:rPr>
          <w:rFonts w:asciiTheme="minorEastAsia" w:hAnsiTheme="minorEastAsia"/>
          <w:kern w:val="0"/>
          <w:sz w:val="24"/>
          <w:szCs w:val="24"/>
        </w:rPr>
        <w:t>2021</w:t>
      </w:r>
      <w:r>
        <w:rPr>
          <w:rFonts w:hint="eastAsia" w:asciiTheme="minorEastAsia" w:hAnsiTheme="minorEastAsia"/>
          <w:kern w:val="0"/>
          <w:sz w:val="24"/>
          <w:szCs w:val="24"/>
        </w:rPr>
        <w:t>年</w:t>
      </w:r>
      <w:r>
        <w:rPr>
          <w:rFonts w:asciiTheme="minorEastAsia" w:hAnsiTheme="minorEastAsia"/>
          <w:kern w:val="0"/>
          <w:sz w:val="24"/>
          <w:szCs w:val="24"/>
        </w:rPr>
        <w:t>8</w:t>
      </w:r>
      <w:r>
        <w:rPr>
          <w:rFonts w:hint="eastAsia" w:asciiTheme="minorEastAsia" w:hAnsiTheme="minorEastAsia"/>
          <w:kern w:val="0"/>
          <w:sz w:val="24"/>
          <w:szCs w:val="24"/>
        </w:rPr>
        <w:t>月</w:t>
      </w:r>
      <w:r>
        <w:rPr>
          <w:rFonts w:asciiTheme="minorEastAsia" w:hAnsiTheme="minorEastAsia"/>
          <w:kern w:val="0"/>
          <w:sz w:val="24"/>
          <w:szCs w:val="24"/>
        </w:rPr>
        <w:t>11</w:t>
      </w:r>
      <w:r>
        <w:rPr>
          <w:rFonts w:hint="eastAsia" w:asciiTheme="minorEastAsia" w:hAnsiTheme="minorEastAsia"/>
          <w:kern w:val="0"/>
          <w:sz w:val="24"/>
          <w:szCs w:val="24"/>
        </w:rPr>
        <w:t>日</w:t>
      </w:r>
      <w:r>
        <w:rPr>
          <w:rFonts w:asciiTheme="minorEastAsia" w:hAnsiTheme="minorEastAsia"/>
          <w:kern w:val="0"/>
          <w:sz w:val="24"/>
          <w:szCs w:val="24"/>
        </w:rPr>
        <w:t>17</w:t>
      </w:r>
      <w:r>
        <w:rPr>
          <w:rFonts w:hint="eastAsia" w:asciiTheme="minorEastAsia" w:hAnsiTheme="minorEastAsia"/>
          <w:kern w:val="0"/>
          <w:sz w:val="24"/>
          <w:szCs w:val="24"/>
        </w:rPr>
        <w:t>时</w:t>
      </w:r>
      <w:r>
        <w:rPr>
          <w:rFonts w:asciiTheme="minorEastAsia" w:hAnsiTheme="minorEastAsia"/>
          <w:kern w:val="0"/>
          <w:sz w:val="24"/>
          <w:szCs w:val="24"/>
        </w:rPr>
        <w:t>0</w:t>
      </w:r>
      <w:r>
        <w:rPr>
          <w:rFonts w:hint="eastAsia" w:asciiTheme="minorEastAsia" w:hAnsiTheme="minorEastAsia"/>
          <w:kern w:val="0"/>
          <w:sz w:val="24"/>
          <w:szCs w:val="24"/>
        </w:rPr>
        <w:t>分</w:t>
      </w:r>
    </w:p>
    <w:p>
      <w:pPr>
        <w:spacing w:before="156" w:beforeLines="50" w:after="156" w:afterLines="50" w:line="400" w:lineRule="exact"/>
        <w:rPr>
          <w:rFonts w:asciiTheme="minorEastAsia" w:hAnsiTheme="minorEastAsia"/>
          <w:kern w:val="0"/>
          <w:sz w:val="24"/>
          <w:szCs w:val="24"/>
        </w:rPr>
      </w:pPr>
      <w:r>
        <w:rPr>
          <w:rFonts w:hint="eastAsia" w:asciiTheme="minorEastAsia" w:hAnsiTheme="minorEastAsia"/>
          <w:kern w:val="0"/>
          <w:sz w:val="24"/>
          <w:szCs w:val="24"/>
        </w:rPr>
        <w:t>预计开标时间：以招标文件通知为准</w:t>
      </w:r>
    </w:p>
    <w:p>
      <w:pPr>
        <w:spacing w:before="156" w:beforeLines="50" w:after="156" w:afterLines="50" w:line="400" w:lineRule="exact"/>
        <w:rPr>
          <w:rFonts w:asciiTheme="minorEastAsia" w:hAnsiTheme="minorEastAsia"/>
          <w:kern w:val="0"/>
          <w:sz w:val="24"/>
          <w:szCs w:val="24"/>
        </w:rPr>
      </w:pPr>
      <w:r>
        <w:rPr>
          <w:rFonts w:hint="eastAsia" w:asciiTheme="minorEastAsia" w:hAnsiTheme="minorEastAsia"/>
          <w:kern w:val="0"/>
          <w:sz w:val="24"/>
          <w:szCs w:val="24"/>
        </w:rPr>
        <w:t>预计开标地点：疫情防控期间选择远程开标形式（如有变动，另行通知）</w:t>
      </w:r>
    </w:p>
    <w:p>
      <w:pPr>
        <w:spacing w:before="156" w:beforeLines="50" w:after="156" w:afterLines="50" w:line="400" w:lineRule="exact"/>
        <w:rPr>
          <w:rFonts w:asciiTheme="minorEastAsia" w:hAnsiTheme="minorEastAsia"/>
          <w:b/>
          <w:kern w:val="0"/>
          <w:sz w:val="24"/>
          <w:szCs w:val="24"/>
        </w:rPr>
      </w:pPr>
      <w:r>
        <w:rPr>
          <w:rFonts w:hint="eastAsia" w:asciiTheme="minorEastAsia" w:hAnsiTheme="minorEastAsia"/>
          <w:b/>
          <w:kern w:val="0"/>
          <w:sz w:val="24"/>
          <w:szCs w:val="24"/>
        </w:rPr>
        <w:t>六、招标项目联系方式</w:t>
      </w:r>
    </w:p>
    <w:p>
      <w:pPr>
        <w:spacing w:before="156" w:beforeLines="50" w:after="156" w:afterLines="50" w:line="400" w:lineRule="exact"/>
        <w:rPr>
          <w:rFonts w:asciiTheme="minorEastAsia" w:hAnsiTheme="minorEastAsia"/>
          <w:kern w:val="0"/>
          <w:sz w:val="24"/>
          <w:szCs w:val="24"/>
        </w:rPr>
      </w:pPr>
      <w:r>
        <w:rPr>
          <w:rFonts w:hint="eastAsia" w:asciiTheme="minorEastAsia" w:hAnsiTheme="minorEastAsia"/>
          <w:kern w:val="0"/>
          <w:sz w:val="24"/>
          <w:szCs w:val="24"/>
        </w:rPr>
        <w:t>招标组织工作经办人：苑双艳，</w:t>
      </w:r>
      <w:r>
        <w:rPr>
          <w:rFonts w:hint="eastAsia" w:cs="宋体" w:asciiTheme="minorEastAsia" w:hAnsiTheme="minorEastAsia"/>
          <w:kern w:val="0"/>
          <w:sz w:val="24"/>
          <w:szCs w:val="24"/>
        </w:rPr>
        <w:t>联系方式：</w:t>
      </w:r>
      <w:r>
        <w:rPr>
          <w:rFonts w:cs="宋体" w:asciiTheme="minorEastAsia" w:hAnsiTheme="minorEastAsia"/>
          <w:kern w:val="0"/>
          <w:sz w:val="24"/>
          <w:szCs w:val="24"/>
        </w:rPr>
        <w:t>010-59031964/17801601854</w:t>
      </w:r>
      <w:r>
        <w:rPr>
          <w:rFonts w:hint="eastAsia" w:asciiTheme="minorEastAsia" w:hAnsiTheme="minorEastAsia"/>
          <w:kern w:val="0"/>
          <w:sz w:val="24"/>
          <w:szCs w:val="24"/>
        </w:rPr>
        <w:t xml:space="preserve">； </w:t>
      </w:r>
    </w:p>
    <w:p>
      <w:pPr>
        <w:spacing w:before="156" w:beforeLines="50" w:after="156" w:afterLines="50" w:line="400" w:lineRule="exact"/>
        <w:rPr>
          <w:rFonts w:asciiTheme="minorEastAsia" w:hAnsiTheme="minorEastAsia"/>
          <w:kern w:val="0"/>
          <w:sz w:val="24"/>
          <w:szCs w:val="24"/>
        </w:rPr>
      </w:pPr>
      <w:r>
        <w:rPr>
          <w:rFonts w:hint="eastAsia" w:asciiTheme="minorEastAsia" w:hAnsiTheme="minorEastAsia"/>
          <w:kern w:val="0"/>
          <w:sz w:val="24"/>
          <w:szCs w:val="24"/>
        </w:rPr>
        <w:t>投诉受理部门：东方雨虹审计监察部</w:t>
      </w:r>
    </w:p>
    <w:p>
      <w:pPr>
        <w:widowControl/>
        <w:shd w:val="clear" w:color="auto" w:fill="FFFFFF"/>
        <w:spacing w:before="50" w:after="50" w:line="400" w:lineRule="exact"/>
        <w:rPr>
          <w:rFonts w:asciiTheme="minorEastAsia" w:hAnsiTheme="minorEastAsia"/>
          <w:bCs/>
          <w:kern w:val="0"/>
          <w:sz w:val="24"/>
          <w:szCs w:val="24"/>
          <w:shd w:val="clear" w:color="auto" w:fill="FFFFFF"/>
        </w:rPr>
      </w:pPr>
      <w:r>
        <w:rPr>
          <w:rFonts w:hint="eastAsia" w:asciiTheme="minorEastAsia" w:hAnsiTheme="minorEastAsia"/>
          <w:bCs/>
          <w:kern w:val="0"/>
          <w:sz w:val="24"/>
          <w:szCs w:val="24"/>
        </w:rPr>
        <w:t>投诉举报平台：</w:t>
      </w:r>
      <w:r>
        <w:rPr>
          <w:rFonts w:hint="eastAsia" w:asciiTheme="minorEastAsia" w:hAnsiTheme="minorEastAsia"/>
          <w:bCs/>
          <w:kern w:val="0"/>
          <w:sz w:val="24"/>
          <w:szCs w:val="24"/>
          <w:shd w:val="clear" w:color="auto" w:fill="FFFFFF"/>
        </w:rPr>
        <w:t>东方雨虹官网主页面（http://www.yuhong.com.cn）—投诉举报平台—违规举报平台/招标投诉平台</w:t>
      </w:r>
    </w:p>
    <w:p>
      <w:pPr>
        <w:spacing w:before="156" w:after="156" w:line="480" w:lineRule="auto"/>
        <w:jc w:val="right"/>
        <w:rPr>
          <w:rFonts w:hint="eastAsia" w:ascii="宋体" w:hAnsi="宋体"/>
          <w:kern w:val="0"/>
          <w:sz w:val="24"/>
          <w:szCs w:val="24"/>
        </w:rPr>
      </w:pPr>
      <w:r>
        <w:rPr>
          <w:rFonts w:ascii="宋体" w:hAnsi="宋体"/>
          <w:kern w:val="0"/>
          <w:sz w:val="24"/>
          <w:szCs w:val="24"/>
        </w:rPr>
        <w:t>北京东方雨虹防水技术股份</w:t>
      </w:r>
      <w:r>
        <w:rPr>
          <w:rFonts w:hint="eastAsia" w:ascii="宋体" w:hAnsi="宋体"/>
          <w:kern w:val="0"/>
          <w:sz w:val="24"/>
          <w:szCs w:val="24"/>
        </w:rPr>
        <w:t>有限公司</w:t>
      </w:r>
    </w:p>
    <w:p>
      <w:pPr>
        <w:spacing w:before="156" w:after="156" w:line="480" w:lineRule="auto"/>
        <w:jc w:val="right"/>
        <w:rPr>
          <w:rFonts w:asciiTheme="minorEastAsia" w:hAnsiTheme="minorEastAsia"/>
        </w:rPr>
      </w:pPr>
      <w:bookmarkStart w:id="0" w:name="_GoBack"/>
      <w:bookmarkEnd w:id="0"/>
      <w:r>
        <w:rPr>
          <w:rFonts w:ascii="宋体" w:hAnsi="宋体"/>
          <w:kern w:val="0"/>
          <w:sz w:val="24"/>
          <w:szCs w:val="24"/>
        </w:rPr>
        <w:t>2021</w:t>
      </w:r>
      <w:r>
        <w:rPr>
          <w:rFonts w:hint="eastAsia" w:ascii="宋体" w:hAnsi="宋体"/>
          <w:kern w:val="0"/>
          <w:sz w:val="24"/>
          <w:szCs w:val="24"/>
        </w:rPr>
        <w:t>年</w:t>
      </w:r>
      <w:r>
        <w:rPr>
          <w:rFonts w:ascii="宋体" w:hAnsi="宋体"/>
          <w:kern w:val="0"/>
          <w:sz w:val="24"/>
          <w:szCs w:val="24"/>
        </w:rPr>
        <w:t>8</w:t>
      </w:r>
      <w:r>
        <w:rPr>
          <w:rFonts w:hint="eastAsia" w:ascii="宋体" w:hAnsi="宋体"/>
          <w:kern w:val="0"/>
          <w:sz w:val="24"/>
          <w:szCs w:val="24"/>
        </w:rPr>
        <w:t>月</w:t>
      </w:r>
      <w:r>
        <w:rPr>
          <w:rFonts w:ascii="宋体" w:hAnsi="宋体"/>
          <w:kern w:val="0"/>
          <w:sz w:val="24"/>
          <w:szCs w:val="24"/>
        </w:rPr>
        <w:t>4</w:t>
      </w:r>
      <w:r>
        <w:rPr>
          <w:rFonts w:hint="eastAsia" w:ascii="宋体" w:hAnsi="宋体"/>
          <w:kern w:val="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068"/>
    <w:rsid w:val="00006297"/>
    <w:rsid w:val="0006528A"/>
    <w:rsid w:val="0007208C"/>
    <w:rsid w:val="00075FD0"/>
    <w:rsid w:val="000A121A"/>
    <w:rsid w:val="000D6E8E"/>
    <w:rsid w:val="000F3D38"/>
    <w:rsid w:val="00107F6D"/>
    <w:rsid w:val="00160493"/>
    <w:rsid w:val="00183FA6"/>
    <w:rsid w:val="001963DD"/>
    <w:rsid w:val="001C58CB"/>
    <w:rsid w:val="001F79EB"/>
    <w:rsid w:val="0025401B"/>
    <w:rsid w:val="00264B0A"/>
    <w:rsid w:val="00296511"/>
    <w:rsid w:val="0030392D"/>
    <w:rsid w:val="0037368C"/>
    <w:rsid w:val="00380B94"/>
    <w:rsid w:val="00387B24"/>
    <w:rsid w:val="003F11E3"/>
    <w:rsid w:val="003F1DF4"/>
    <w:rsid w:val="003F7BFE"/>
    <w:rsid w:val="004062C2"/>
    <w:rsid w:val="00426ED1"/>
    <w:rsid w:val="00442B31"/>
    <w:rsid w:val="00465E59"/>
    <w:rsid w:val="00474729"/>
    <w:rsid w:val="0047649D"/>
    <w:rsid w:val="00490F7C"/>
    <w:rsid w:val="00494505"/>
    <w:rsid w:val="004A1766"/>
    <w:rsid w:val="004A7656"/>
    <w:rsid w:val="004D2A1B"/>
    <w:rsid w:val="004D4885"/>
    <w:rsid w:val="004D4A77"/>
    <w:rsid w:val="004D5407"/>
    <w:rsid w:val="004E1079"/>
    <w:rsid w:val="004E299B"/>
    <w:rsid w:val="004E2FB2"/>
    <w:rsid w:val="004E5E5F"/>
    <w:rsid w:val="0050165A"/>
    <w:rsid w:val="005416EC"/>
    <w:rsid w:val="0055374B"/>
    <w:rsid w:val="00567CDC"/>
    <w:rsid w:val="005914DF"/>
    <w:rsid w:val="005B2E70"/>
    <w:rsid w:val="005B4D5B"/>
    <w:rsid w:val="005C6571"/>
    <w:rsid w:val="005E059C"/>
    <w:rsid w:val="005E1C9D"/>
    <w:rsid w:val="006552A0"/>
    <w:rsid w:val="00674578"/>
    <w:rsid w:val="00683C48"/>
    <w:rsid w:val="00685F33"/>
    <w:rsid w:val="0069022B"/>
    <w:rsid w:val="006C1381"/>
    <w:rsid w:val="006C6EC9"/>
    <w:rsid w:val="007121D0"/>
    <w:rsid w:val="00745AA1"/>
    <w:rsid w:val="00787250"/>
    <w:rsid w:val="0079564F"/>
    <w:rsid w:val="0079571C"/>
    <w:rsid w:val="007B3EBA"/>
    <w:rsid w:val="007D2628"/>
    <w:rsid w:val="007E28E4"/>
    <w:rsid w:val="007E4342"/>
    <w:rsid w:val="007F1061"/>
    <w:rsid w:val="00801238"/>
    <w:rsid w:val="00804276"/>
    <w:rsid w:val="00833E73"/>
    <w:rsid w:val="008614E5"/>
    <w:rsid w:val="008708F2"/>
    <w:rsid w:val="00893CDA"/>
    <w:rsid w:val="008C5A7F"/>
    <w:rsid w:val="009568BB"/>
    <w:rsid w:val="00984645"/>
    <w:rsid w:val="009935C8"/>
    <w:rsid w:val="009F6593"/>
    <w:rsid w:val="00A06A5C"/>
    <w:rsid w:val="00A37D21"/>
    <w:rsid w:val="00A633EB"/>
    <w:rsid w:val="00AB521A"/>
    <w:rsid w:val="00AD7F98"/>
    <w:rsid w:val="00AE5785"/>
    <w:rsid w:val="00AF37C4"/>
    <w:rsid w:val="00B152E6"/>
    <w:rsid w:val="00B154E7"/>
    <w:rsid w:val="00B155C5"/>
    <w:rsid w:val="00B15807"/>
    <w:rsid w:val="00B15CB1"/>
    <w:rsid w:val="00B76A1D"/>
    <w:rsid w:val="00BB362F"/>
    <w:rsid w:val="00BD3C38"/>
    <w:rsid w:val="00BE54EA"/>
    <w:rsid w:val="00BF0AD5"/>
    <w:rsid w:val="00C027E2"/>
    <w:rsid w:val="00C175EE"/>
    <w:rsid w:val="00C3448D"/>
    <w:rsid w:val="00C410FB"/>
    <w:rsid w:val="00C901CD"/>
    <w:rsid w:val="00CA5BEC"/>
    <w:rsid w:val="00CA6F97"/>
    <w:rsid w:val="00D244EF"/>
    <w:rsid w:val="00D31F51"/>
    <w:rsid w:val="00D92732"/>
    <w:rsid w:val="00DC573D"/>
    <w:rsid w:val="00E03E5D"/>
    <w:rsid w:val="00E359F7"/>
    <w:rsid w:val="00E7024C"/>
    <w:rsid w:val="00E70344"/>
    <w:rsid w:val="00E81789"/>
    <w:rsid w:val="00E86176"/>
    <w:rsid w:val="00EA2063"/>
    <w:rsid w:val="00EF67FC"/>
    <w:rsid w:val="00F0469D"/>
    <w:rsid w:val="00F119C9"/>
    <w:rsid w:val="00F4072D"/>
    <w:rsid w:val="00F43068"/>
    <w:rsid w:val="00F708A9"/>
    <w:rsid w:val="00F740FB"/>
    <w:rsid w:val="00FE3C25"/>
    <w:rsid w:val="0EE04A28"/>
    <w:rsid w:val="0F7936D8"/>
    <w:rsid w:val="10384932"/>
    <w:rsid w:val="1C5641A5"/>
    <w:rsid w:val="280825F3"/>
    <w:rsid w:val="4EA90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uiPriority w:val="99"/>
    <w:rPr>
      <w:sz w:val="18"/>
      <w:szCs w:val="18"/>
    </w:rPr>
  </w:style>
  <w:style w:type="paragraph" w:customStyle="1" w:styleId="11">
    <w:name w:val="a7"/>
    <w:basedOn w:val="1"/>
    <w:uiPriority w:val="0"/>
    <w:pPr>
      <w:widowControl/>
      <w:spacing w:before="75" w:after="75"/>
      <w:jc w:val="left"/>
    </w:pPr>
    <w:rPr>
      <w:rFonts w:ascii="宋体" w:hAnsi="宋体" w:eastAsia="宋体" w:cs="宋体"/>
      <w:kern w:val="0"/>
      <w:sz w:val="24"/>
      <w:szCs w:val="24"/>
    </w:rPr>
  </w:style>
  <w:style w:type="character" w:customStyle="1" w:styleId="12">
    <w:name w:val="a0"/>
    <w:basedOn w:val="7"/>
    <w:uiPriority w:val="0"/>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230</Words>
  <Characters>1315</Characters>
  <Lines>10</Lines>
  <Paragraphs>3</Paragraphs>
  <TotalTime>35</TotalTime>
  <ScaleCrop>false</ScaleCrop>
  <LinksUpToDate>false</LinksUpToDate>
  <CharactersWithSpaces>1542</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2018-11-21T03:33:00Z</dcterms:created>
  <dc:creator>苑双艳</dc:creator>
  <cp:lastModifiedBy>开心就笑一下</cp:lastModifiedBy>
  <dcterms:modified xsi:type="dcterms:W3CDTF">2021-08-04T05:17:37Z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B152C9B45F914756922D576B58C61799</vt:lpwstr>
  </property>
</Properties>
</file>